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44"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44"/>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     </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电力系统自动化技术工匠校企联合</w:t>
      </w:r>
      <w:r>
        <w:cr/>
      </w:r>
      <w:r>
        <w:t>培养规范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9F69D25372F9417ABEC8B1E63207ED9E"/>
        </w:placeholder>
      </w:sdtPr>
      <w:sdtContent>
        <w:p>
          <w:pPr>
            <w:pStyle w:val="177"/>
            <w:spacing w:before="2" w:beforeLines="1" w:after="2" w:afterLines="1"/>
          </w:pPr>
          <w:bookmarkStart w:id="22" w:name="NEW_STAND_NAME"/>
          <w:r>
            <w:rPr>
              <w:rFonts w:hint="eastAsia"/>
            </w:rPr>
            <w:t>电力系统自动化技术工匠校企联合</w:t>
          </w:r>
        </w:p>
        <w:p>
          <w:pPr>
            <w:pStyle w:val="177"/>
            <w:spacing w:before="2" w:beforeLines="1" w:after="680"/>
          </w:pPr>
          <w:r>
            <w:rPr>
              <w:rFonts w:hint="eastAsia"/>
            </w:rPr>
            <w:t>培养规范</w:t>
          </w:r>
        </w:p>
      </w:sdtContent>
    </w:sdt>
    <w:bookmarkEnd w:id="22"/>
    <w:p>
      <w:pPr>
        <w:pStyle w:val="104"/>
        <w:spacing w:before="240" w:after="240"/>
      </w:pPr>
      <w:bookmarkStart w:id="23" w:name="_Toc26648465"/>
      <w:bookmarkStart w:id="24" w:name="_Toc97192964"/>
      <w:bookmarkStart w:id="25" w:name="_Toc17233325"/>
      <w:bookmarkStart w:id="26" w:name="_Toc26718930"/>
      <w:bookmarkStart w:id="27" w:name="_Toc26986771"/>
      <w:bookmarkStart w:id="28" w:name="_Toc17233333"/>
      <w:bookmarkStart w:id="29" w:name="_Toc24884211"/>
      <w:bookmarkStart w:id="30" w:name="_Toc24884218"/>
      <w:bookmarkStart w:id="31" w:name="_Toc26986530"/>
      <w:r>
        <w:rPr>
          <w:rFonts w:hint="eastAsia"/>
        </w:rPr>
        <w:t>范围</w:t>
      </w:r>
      <w:bookmarkEnd w:id="23"/>
      <w:bookmarkEnd w:id="24"/>
      <w:bookmarkEnd w:id="25"/>
      <w:bookmarkEnd w:id="26"/>
      <w:bookmarkEnd w:id="27"/>
      <w:bookmarkEnd w:id="28"/>
      <w:bookmarkEnd w:id="29"/>
      <w:bookmarkEnd w:id="30"/>
      <w:bookmarkEnd w:id="31"/>
    </w:p>
    <w:p>
      <w:pPr>
        <w:pStyle w:val="56"/>
        <w:ind w:firstLine="420"/>
      </w:pPr>
      <w:bookmarkStart w:id="32" w:name="_Toc24884219"/>
      <w:bookmarkStart w:id="33" w:name="_Toc17233326"/>
      <w:bookmarkStart w:id="34" w:name="_Toc17233334"/>
      <w:bookmarkStart w:id="35" w:name="_Toc26648466"/>
      <w:bookmarkStart w:id="36" w:name="_Toc24884212"/>
      <w:r>
        <w:rPr>
          <w:rFonts w:hint="eastAsia"/>
        </w:rPr>
        <w:t>本文件件规定了电力系统自动化技术专业数字工匠教学课程的总体要求、学科建设、师资队伍、教学资源等的指导和要求。</w:t>
      </w:r>
    </w:p>
    <w:p>
      <w:pPr>
        <w:pStyle w:val="56"/>
        <w:ind w:firstLine="420"/>
      </w:pPr>
      <w:r>
        <w:rPr>
          <w:rFonts w:hint="eastAsia"/>
        </w:rPr>
        <w:t>本文件适用于培养电力系统自动化技术专业数字工匠等高素质技术技能人才。</w:t>
      </w:r>
    </w:p>
    <w:p>
      <w:pPr>
        <w:pStyle w:val="104"/>
        <w:spacing w:before="240" w:after="240"/>
      </w:pPr>
      <w:bookmarkStart w:id="37" w:name="_Toc97192965"/>
      <w:bookmarkStart w:id="38" w:name="_Toc26986772"/>
      <w:bookmarkStart w:id="39" w:name="_Toc26718931"/>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CABB2963E8F44D18C08A2F07017C9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t>GB/T</w:t>
      </w:r>
      <w:r>
        <w:rPr>
          <w:rFonts w:hint="eastAsia"/>
        </w:rPr>
        <w:t xml:space="preserve"> </w:t>
      </w:r>
      <w:r>
        <w:t xml:space="preserve">19273-2017  </w:t>
      </w:r>
      <w:r>
        <w:rPr>
          <w:rFonts w:hint="eastAsia"/>
        </w:rPr>
        <w:t>企业标准化工作评价与改进</w:t>
      </w:r>
    </w:p>
    <w:p>
      <w:pPr>
        <w:pStyle w:val="104"/>
        <w:spacing w:before="240" w:after="240"/>
      </w:pPr>
      <w:bookmarkStart w:id="41" w:name="_Toc97192966"/>
      <w:r>
        <w:rPr>
          <w:rFonts w:hint="eastAsia"/>
          <w:szCs w:val="21"/>
        </w:rPr>
        <w:t>术语和定义</w:t>
      </w:r>
      <w:bookmarkEnd w:id="41"/>
    </w:p>
    <w:sdt>
      <w:sdtPr>
        <w:id w:val="-1"/>
        <w:placeholder>
          <w:docPart w:val="5F9BA2FF5EF64751ABFC4EAC856FC9B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105"/>
        <w:spacing w:before="120" w:after="120"/>
      </w:pPr>
    </w:p>
    <w:p>
      <w:pPr>
        <w:pStyle w:val="56"/>
        <w:ind w:firstLine="420"/>
        <w:rPr>
          <w:rFonts w:ascii="黑体" w:hAnsi="黑体" w:eastAsia="黑体"/>
        </w:rPr>
      </w:pPr>
      <w:r>
        <w:rPr>
          <w:rFonts w:hint="eastAsia" w:ascii="黑体" w:hAnsi="黑体" w:eastAsia="黑体"/>
        </w:rPr>
        <w:t>专任教师 fulltime teacher</w:t>
      </w:r>
    </w:p>
    <w:p>
      <w:pPr>
        <w:pStyle w:val="56"/>
        <w:ind w:firstLine="420"/>
      </w:pPr>
      <w:r>
        <w:rPr>
          <w:rFonts w:hint="eastAsia"/>
        </w:rPr>
        <w:t>在职业院校从事校企联培职业教育学校课程开发和教学实施的人员。</w:t>
      </w:r>
    </w:p>
    <w:p>
      <w:pPr>
        <w:pStyle w:val="105"/>
        <w:spacing w:before="120" w:after="120"/>
      </w:pPr>
    </w:p>
    <w:p>
      <w:pPr>
        <w:pStyle w:val="56"/>
        <w:ind w:firstLine="420"/>
        <w:rPr>
          <w:rFonts w:ascii="黑体" w:hAnsi="黑体" w:eastAsia="黑体"/>
        </w:rPr>
      </w:pPr>
      <w:r>
        <w:rPr>
          <w:rFonts w:hint="eastAsia" w:ascii="黑体" w:hAnsi="黑体" w:eastAsia="黑体"/>
        </w:rPr>
        <w:t>培训师 trainer</w:t>
      </w:r>
    </w:p>
    <w:p>
      <w:pPr>
        <w:pStyle w:val="56"/>
        <w:ind w:firstLine="420"/>
      </w:pPr>
      <w:r>
        <w:rPr>
          <w:rFonts w:hint="eastAsia"/>
        </w:rPr>
        <w:t>在培训中心从事职业培训课程的开发和培训的人员。</w:t>
      </w:r>
    </w:p>
    <w:p>
      <w:pPr>
        <w:pStyle w:val="105"/>
        <w:spacing w:before="120" w:after="120"/>
      </w:pPr>
    </w:p>
    <w:p>
      <w:pPr>
        <w:pStyle w:val="56"/>
        <w:ind w:firstLine="420"/>
        <w:rPr>
          <w:rFonts w:ascii="黑体" w:hAnsi="黑体" w:eastAsia="黑体"/>
        </w:rPr>
      </w:pPr>
      <w:r>
        <w:rPr>
          <w:rFonts w:hint="eastAsia" w:ascii="黑体" w:hAnsi="黑体" w:eastAsia="黑体"/>
        </w:rPr>
        <w:t>岗位师傅 post master</w:t>
      </w:r>
    </w:p>
    <w:p>
      <w:pPr>
        <w:pStyle w:val="56"/>
        <w:ind w:firstLine="420"/>
      </w:pPr>
      <w:r>
        <w:rPr>
          <w:rFonts w:hint="eastAsia"/>
        </w:rPr>
        <w:t>在企业从事专业技术岗位工作，指导学生实习实训、并适时向学生传授贴近生产或服务性岗位的相</w:t>
      </w:r>
    </w:p>
    <w:p>
      <w:pPr>
        <w:pStyle w:val="56"/>
        <w:ind w:firstLine="420"/>
      </w:pPr>
      <w:r>
        <w:rPr>
          <w:rFonts w:hint="eastAsia"/>
        </w:rPr>
        <w:t>关技能的人员。</w:t>
      </w:r>
    </w:p>
    <w:p>
      <w:pPr>
        <w:pStyle w:val="105"/>
        <w:spacing w:before="120" w:after="120"/>
      </w:pPr>
    </w:p>
    <w:p>
      <w:pPr>
        <w:pStyle w:val="56"/>
        <w:ind w:firstLine="420"/>
        <w:rPr>
          <w:rFonts w:ascii="黑体" w:hAnsi="黑体" w:eastAsia="黑体"/>
        </w:rPr>
      </w:pPr>
      <w:r>
        <w:rPr>
          <w:rFonts w:hint="eastAsia" w:ascii="黑体" w:hAnsi="黑体" w:eastAsia="黑体"/>
        </w:rPr>
        <w:t>校企联培职业教育 dualsystem of vocational education</w:t>
      </w:r>
    </w:p>
    <w:p>
      <w:pPr>
        <w:pStyle w:val="56"/>
        <w:ind w:firstLine="420"/>
      </w:pPr>
      <w:r>
        <w:rPr>
          <w:rFonts w:hint="eastAsia"/>
        </w:rPr>
        <w:t>职业院校和企业共同承担人才培养任务，合作培养高素质技术技能人才的职业教育培养模式。</w:t>
      </w:r>
    </w:p>
    <w:p>
      <w:pPr>
        <w:pStyle w:val="105"/>
        <w:spacing w:before="120" w:after="120"/>
      </w:pPr>
    </w:p>
    <w:p>
      <w:pPr>
        <w:pStyle w:val="105"/>
        <w:numPr>
          <w:ilvl w:val="0"/>
          <w:numId w:val="0"/>
        </w:numPr>
        <w:spacing w:before="120" w:after="120"/>
        <w:ind w:firstLine="420" w:firstLineChars="200"/>
      </w:pPr>
      <w:r>
        <w:rPr>
          <w:rFonts w:hint="eastAsia"/>
        </w:rPr>
        <w:t>学员 apprentice</w:t>
      </w:r>
    </w:p>
    <w:p>
      <w:pPr>
        <w:pStyle w:val="56"/>
        <w:ind w:firstLine="420"/>
      </w:pPr>
      <w:r>
        <w:rPr>
          <w:rFonts w:hint="eastAsia"/>
        </w:rPr>
        <w:t>接受职业教育的受培训者。</w:t>
      </w:r>
    </w:p>
    <w:p>
      <w:pPr>
        <w:pStyle w:val="56"/>
        <w:ind w:firstLine="360"/>
        <w:rPr>
          <w:rFonts w:ascii="黑体" w:hAnsi="黑体" w:eastAsia="黑体"/>
          <w:sz w:val="18"/>
          <w:szCs w:val="18"/>
        </w:rPr>
      </w:pPr>
    </w:p>
    <w:p>
      <w:pPr>
        <w:pStyle w:val="179"/>
      </w:pPr>
      <w:r>
        <w:rPr>
          <w:rFonts w:hint="eastAsia"/>
        </w:rPr>
        <w:t>学员身份随学习或工作场所的变化而变更，在职业院校中为“学生”，在企业和培训中心为“学徒”。</w:t>
      </w:r>
    </w:p>
    <w:p>
      <w:pPr>
        <w:pStyle w:val="105"/>
        <w:spacing w:before="120" w:after="120"/>
      </w:pPr>
    </w:p>
    <w:p>
      <w:pPr>
        <w:pStyle w:val="105"/>
        <w:numPr>
          <w:ilvl w:val="0"/>
          <w:numId w:val="0"/>
        </w:numPr>
        <w:spacing w:before="120" w:after="120"/>
        <w:ind w:firstLine="420" w:firstLineChars="200"/>
      </w:pPr>
      <w:r>
        <w:rPr>
          <w:rFonts w:hint="eastAsia"/>
        </w:rPr>
        <w:t xml:space="preserve">电力工匠班 </w:t>
      </w:r>
      <w:r>
        <w:t>Electric Power Craftsman Training Program</w:t>
      </w:r>
    </w:p>
    <w:p>
      <w:pPr>
        <w:pStyle w:val="56"/>
        <w:ind w:firstLine="420"/>
      </w:pPr>
      <w:r>
        <w:rPr>
          <w:rFonts w:hint="eastAsia"/>
        </w:rPr>
        <w:t>指以培养电力行业高技能人才为目标，通过系统化理论教学与实践操作相结合的培训模式，重点提升学员在电力设备安装、检修、运维及创新应用等方面的专业技术能力的专门班级。</w:t>
      </w:r>
    </w:p>
    <w:p>
      <w:pPr>
        <w:pStyle w:val="179"/>
      </w:pPr>
      <w:r>
        <w:rPr>
          <w:rFonts w:hint="eastAsia"/>
        </w:rPr>
        <w:t>该培训通常由企业、职业院校或行业协会主导，强调工匠精神传承与前沿技术融合。</w:t>
      </w:r>
    </w:p>
    <w:p>
      <w:pPr>
        <w:pStyle w:val="104"/>
        <w:spacing w:before="240" w:after="240"/>
      </w:pPr>
      <w:r>
        <w:rPr>
          <w:rFonts w:hint="eastAsia"/>
        </w:rPr>
        <w:t>总体要求</w:t>
      </w:r>
    </w:p>
    <w:p>
      <w:pPr>
        <w:pStyle w:val="105"/>
        <w:spacing w:before="120" w:after="120"/>
      </w:pPr>
      <w:r>
        <w:rPr>
          <w:rFonts w:hint="eastAsia"/>
        </w:rPr>
        <w:t>培养目标</w:t>
      </w:r>
    </w:p>
    <w:p>
      <w:pPr>
        <w:pStyle w:val="56"/>
        <w:ind w:firstLine="420"/>
      </w:pPr>
      <w:r>
        <w:rPr>
          <w:rFonts w:hint="eastAsia"/>
        </w:rPr>
        <w:t>培养掌握电力系统自动化技术及数字孪生、物联网、大数据等新一代信息技术，能够解决智能电网运维、数字变电站建设等领域的实际问题，具备"电力+数字化"双核素养、德智体美劳全面发展的复合型技术技能人才。</w:t>
      </w:r>
    </w:p>
    <w:p>
      <w:pPr>
        <w:pStyle w:val="105"/>
        <w:spacing w:before="120" w:after="120"/>
      </w:pPr>
      <w:r>
        <w:rPr>
          <w:rFonts w:hint="eastAsia"/>
        </w:rPr>
        <w:t>培养计划</w:t>
      </w:r>
    </w:p>
    <w:p>
      <w:pPr>
        <w:pStyle w:val="56"/>
        <w:ind w:firstLine="420"/>
      </w:pPr>
      <w:r>
        <w:rPr>
          <w:rFonts w:hint="eastAsia"/>
        </w:rPr>
        <w:t>由职业院校联合企业共同制定培养计划，明确电力工匠班教学内容要求以及各要素要求，应包括专业名称及代码、入学要求、修业年限、职业面向、培养目标与培养规格、课程设置、学时安排、教学进程总体安排、实施保障、毕业要求等内容。</w:t>
      </w:r>
    </w:p>
    <w:p>
      <w:pPr>
        <w:pStyle w:val="104"/>
        <w:spacing w:before="240" w:after="240"/>
      </w:pPr>
      <w:r>
        <w:rPr>
          <w:rFonts w:hint="eastAsia"/>
        </w:rPr>
        <w:t>教学要求</w:t>
      </w:r>
    </w:p>
    <w:p>
      <w:pPr>
        <w:pStyle w:val="105"/>
        <w:spacing w:before="120" w:after="120"/>
      </w:pPr>
      <w:r>
        <w:rPr>
          <w:rFonts w:hint="eastAsia"/>
        </w:rPr>
        <w:t>学科建设原则</w:t>
      </w:r>
    </w:p>
    <w:p>
      <w:pPr>
        <w:pStyle w:val="65"/>
        <w:spacing w:before="120" w:after="120"/>
      </w:pPr>
      <w:r>
        <w:rPr>
          <w:rFonts w:hint="eastAsia"/>
        </w:rPr>
        <w:t>企业中心原则</w:t>
      </w:r>
    </w:p>
    <w:p>
      <w:pPr>
        <w:pStyle w:val="56"/>
        <w:ind w:firstLine="420"/>
      </w:pPr>
      <w:r>
        <w:rPr>
          <w:rFonts w:hint="eastAsia"/>
        </w:rPr>
        <w:t>围绕企业对高素质技术技能型人才的需求，以企业为主导，强调对学生在企业现场的培训，注重对学生职业性和实践性的培养。</w:t>
      </w:r>
    </w:p>
    <w:p>
      <w:pPr>
        <w:pStyle w:val="65"/>
        <w:spacing w:before="120" w:after="120"/>
      </w:pPr>
      <w:r>
        <w:rPr>
          <w:rFonts w:hint="eastAsia"/>
        </w:rPr>
        <w:t>精准性原则</w:t>
      </w:r>
    </w:p>
    <w:p>
      <w:pPr>
        <w:pStyle w:val="56"/>
        <w:ind w:firstLine="420"/>
      </w:pPr>
      <w:r>
        <w:rPr>
          <w:rFonts w:hint="eastAsia"/>
        </w:rPr>
        <w:t>在校企联培职业教育开展过程中，以企业需求为中心，强化人才供需精准、人岗匹配精准、教学过程衔接精准、培养内容对接精准。</w:t>
      </w:r>
    </w:p>
    <w:p>
      <w:pPr>
        <w:pStyle w:val="65"/>
        <w:spacing w:before="120" w:after="120"/>
      </w:pPr>
      <w:r>
        <w:rPr>
          <w:rFonts w:hint="eastAsia"/>
        </w:rPr>
        <w:t>职业发展原则</w:t>
      </w:r>
    </w:p>
    <w:p>
      <w:pPr>
        <w:pStyle w:val="56"/>
        <w:ind w:firstLine="420"/>
      </w:pPr>
      <w:r>
        <w:rPr>
          <w:rFonts w:hint="eastAsia"/>
        </w:rPr>
        <w:t>培养学生具备企业岗位专项能力和面向行业的通用职业能力，更注重培养学生具备职业发展能力。</w:t>
      </w:r>
    </w:p>
    <w:p>
      <w:pPr>
        <w:pStyle w:val="105"/>
        <w:spacing w:before="120" w:after="120"/>
      </w:pPr>
      <w:r>
        <w:rPr>
          <w:rFonts w:hint="eastAsia"/>
        </w:rPr>
        <w:t>课程设置要求</w:t>
      </w:r>
    </w:p>
    <w:p>
      <w:pPr>
        <w:pStyle w:val="65"/>
        <w:spacing w:before="120" w:after="120"/>
      </w:pPr>
      <w:r>
        <w:rPr>
          <w:rFonts w:hint="eastAsia"/>
        </w:rPr>
        <w:t>公共基础课程</w:t>
      </w:r>
    </w:p>
    <w:p>
      <w:pPr>
        <w:pStyle w:val="56"/>
        <w:ind w:firstLine="420"/>
      </w:pPr>
      <w:r>
        <w:rPr>
          <w:rFonts w:hint="eastAsia"/>
        </w:rPr>
        <w:t>主要包括思想政治理论、中华优秀传统文化、体育、军事理论与军训、大学生职业发展与就业指导、心理健康教育；党史国史、大学语文、高等数学、大学英语、信息技术、创新创业教育、健康教育、美育、职业素养。</w:t>
      </w:r>
    </w:p>
    <w:p>
      <w:pPr>
        <w:pStyle w:val="65"/>
        <w:spacing w:before="120" w:after="120"/>
      </w:pPr>
      <w:r>
        <w:rPr>
          <w:rFonts w:hint="eastAsia"/>
        </w:rPr>
        <w:t>专业课程</w:t>
      </w:r>
    </w:p>
    <w:p>
      <w:pPr>
        <w:pStyle w:val="94"/>
        <w:spacing w:before="120" w:after="120"/>
      </w:pPr>
      <w:r>
        <w:rPr>
          <w:rFonts w:hint="eastAsia"/>
        </w:rPr>
        <w:t>专业基础课程</w:t>
      </w:r>
    </w:p>
    <w:p>
      <w:pPr>
        <w:pStyle w:val="56"/>
        <w:ind w:firstLine="420"/>
      </w:pPr>
      <w:r>
        <w:rPr>
          <w:rFonts w:hint="eastAsia"/>
        </w:rPr>
        <w:t>一般设置6～8门。主要教学内容应包括:电路基础、电子技术、电机技术、电气图纸的识绘、电力系统基础、电气控制 PLC 技术等。</w:t>
      </w:r>
    </w:p>
    <w:p>
      <w:pPr>
        <w:pStyle w:val="94"/>
        <w:spacing w:before="120" w:after="120"/>
      </w:pPr>
      <w:r>
        <w:rPr>
          <w:rFonts w:hint="eastAsia"/>
        </w:rPr>
        <w:t>专业核心课程</w:t>
      </w:r>
    </w:p>
    <w:p>
      <w:pPr>
        <w:pStyle w:val="56"/>
        <w:ind w:firstLine="420"/>
      </w:pPr>
      <w:r>
        <w:rPr>
          <w:rFonts w:hint="eastAsia"/>
        </w:rPr>
        <w:t>一般设置6～8门。发电厂变电站电气设备、电力系统二次设备、电力系统继电保护、变电站综合自动化、组态软件技术、电力系统通信技术、智能电网技术等。</w:t>
      </w:r>
    </w:p>
    <w:p>
      <w:pPr>
        <w:pStyle w:val="94"/>
        <w:spacing w:before="120" w:after="120"/>
      </w:pPr>
      <w:r>
        <w:rPr>
          <w:rFonts w:hint="eastAsia"/>
        </w:rPr>
        <w:t>专业拓展课程</w:t>
      </w:r>
    </w:p>
    <w:p>
      <w:pPr>
        <w:pStyle w:val="56"/>
        <w:ind w:firstLine="420"/>
      </w:pPr>
      <w:r>
        <w:rPr>
          <w:rFonts w:hint="eastAsia"/>
        </w:rPr>
        <w:t>包括高电压技术、新能源发电技术、特高压输电技术、传感器技术、人工智能概论、电力安全生产技术、电力专业英语、电力企业班组管理等。</w:t>
      </w:r>
    </w:p>
    <w:p>
      <w:pPr>
        <w:pStyle w:val="104"/>
        <w:spacing w:before="240" w:after="240"/>
      </w:pPr>
      <w:r>
        <w:rPr>
          <w:rFonts w:hint="eastAsia"/>
        </w:rPr>
        <w:t>管理要求</w:t>
      </w:r>
    </w:p>
    <w:p>
      <w:pPr>
        <w:pStyle w:val="105"/>
        <w:spacing w:before="120" w:after="120"/>
        <w:rPr>
          <w:color w:val="FF0000"/>
        </w:rPr>
      </w:pPr>
      <w:r>
        <w:rPr>
          <w:rFonts w:hint="eastAsia"/>
          <w:color w:val="000000" w:themeColor="text1"/>
          <w14:textFill>
            <w14:solidFill>
              <w14:schemeClr w14:val="tx1"/>
            </w14:solidFill>
          </w14:textFill>
        </w:rPr>
        <w:t>“电力工匠班”学生筛选要求</w:t>
      </w:r>
    </w:p>
    <w:p>
      <w:pPr>
        <w:pStyle w:val="56"/>
        <w:ind w:firstLine="420"/>
      </w:pPr>
      <w:r>
        <w:rPr>
          <w:rFonts w:hint="eastAsia"/>
        </w:rPr>
        <w:t>学生进入电力工匠班主要包括但不限于满足如下要求：</w:t>
      </w:r>
    </w:p>
    <w:p>
      <w:pPr>
        <w:pStyle w:val="132"/>
      </w:pPr>
      <w:r>
        <w:rPr>
          <w:rFonts w:hint="eastAsia"/>
        </w:rPr>
        <w:t>学生需通过学校的初选，初选内容包括学生所学课程全部通过或取得规定学分、学生在校期间表现良好，无处分、无违纪违法行为、；</w:t>
      </w:r>
    </w:p>
    <w:p>
      <w:pPr>
        <w:pStyle w:val="132"/>
      </w:pPr>
      <w:r>
        <w:rPr>
          <w:rFonts w:hint="eastAsia"/>
        </w:rPr>
        <w:t>学生需通过学校组织的相关考试和面试；</w:t>
      </w:r>
    </w:p>
    <w:p>
      <w:pPr>
        <w:pStyle w:val="132"/>
      </w:pPr>
      <w:r>
        <w:rPr>
          <w:rFonts w:hint="eastAsia"/>
        </w:rPr>
        <w:t>选择进入工匠班的学生需经过学生家长、学校一致同意后，完成入班《申请书》、《承诺书》；</w:t>
      </w:r>
    </w:p>
    <w:p>
      <w:pPr>
        <w:pStyle w:val="132"/>
      </w:pPr>
      <w:r>
        <w:rPr>
          <w:rFonts w:hint="eastAsia"/>
        </w:rPr>
        <w:t>学生需通过企业组织的联合培养面试环节考核；</w:t>
      </w:r>
    </w:p>
    <w:p>
      <w:pPr>
        <w:pStyle w:val="132"/>
      </w:pPr>
      <w:r>
        <w:rPr>
          <w:rFonts w:hint="eastAsia"/>
        </w:rPr>
        <w:t>选择进入电力工匠班的学生需与学校、企业签订《电力产业学院订单班协议》。</w:t>
      </w:r>
    </w:p>
    <w:p>
      <w:pPr>
        <w:pStyle w:val="105"/>
        <w:spacing w:before="120" w:after="120"/>
      </w:pPr>
      <w:r>
        <w:rPr>
          <w:rFonts w:hint="eastAsia"/>
        </w:rPr>
        <w:t>教学管理要求</w:t>
      </w:r>
    </w:p>
    <w:p>
      <w:pPr>
        <w:pStyle w:val="56"/>
        <w:ind w:firstLine="420"/>
      </w:pPr>
      <w:r>
        <w:rPr>
          <w:rFonts w:hint="eastAsia"/>
        </w:rPr>
        <w:t>校企应根据自身的教育任务开展工作包括但不限于：</w:t>
      </w:r>
    </w:p>
    <w:p>
      <w:pPr>
        <w:pStyle w:val="132"/>
      </w:pPr>
      <w:r>
        <w:rPr>
          <w:rFonts w:hint="eastAsia"/>
        </w:rPr>
        <w:t>校企共同制订教学计划，需包含学校理论知识教学和企业实践教学的内容。教学计划应符合教育部、教育厅所对应专业技能水平需达到人才培养目标的相关规定。</w:t>
      </w:r>
    </w:p>
    <w:p>
      <w:pPr>
        <w:pStyle w:val="132"/>
      </w:pPr>
      <w:r>
        <w:rPr>
          <w:rFonts w:hint="eastAsia"/>
        </w:rPr>
        <w:t>校企双方应在师资、技术、设备等办学条件方面开展合作，统筹双方资源，采取多种形式组织教学。</w:t>
      </w:r>
    </w:p>
    <w:p>
      <w:pPr>
        <w:pStyle w:val="132"/>
      </w:pPr>
      <w:r>
        <w:rPr>
          <w:rFonts w:hint="eastAsia"/>
        </w:rPr>
        <w:t>宜按照学习领域课程培养学生的专业知识、技能及可持续发展能力，以全面培养学生在职业发展和社会生活中的责任感、职业能力和职业意识。</w:t>
      </w:r>
    </w:p>
    <w:p>
      <w:pPr>
        <w:pStyle w:val="132"/>
      </w:pPr>
      <w:r>
        <w:rPr>
          <w:rFonts w:hint="eastAsia"/>
        </w:rPr>
        <w:t>在专业知识课程和教学实践上，学校应选聘专任教师、岗位师傅和培训师负责学生的学习部分；</w:t>
      </w:r>
    </w:p>
    <w:p>
      <w:pPr>
        <w:pStyle w:val="132"/>
      </w:pPr>
      <w:r>
        <w:rPr>
          <w:rFonts w:hint="eastAsia"/>
        </w:rPr>
        <w:t>学校选聘班主任，企业选聘副班主任，共同管理班级及学生一切日常事务；</w:t>
      </w:r>
    </w:p>
    <w:p>
      <w:pPr>
        <w:pStyle w:val="132"/>
      </w:pPr>
      <w:r>
        <w:rPr>
          <w:rFonts w:hint="eastAsia"/>
          <w:color w:val="FF0000"/>
        </w:rPr>
        <w:t>学生实习（实训）应符合相关《学生实习管理实施细则》</w:t>
      </w:r>
      <w:r>
        <w:rPr>
          <w:rFonts w:hint="eastAsia"/>
        </w:rPr>
        <w:t>。</w:t>
      </w:r>
    </w:p>
    <w:p>
      <w:pPr>
        <w:pStyle w:val="105"/>
        <w:spacing w:before="120" w:after="120"/>
      </w:pPr>
      <w:r>
        <w:rPr>
          <w:rFonts w:hint="eastAsia"/>
        </w:rPr>
        <w:t>学生管理要求</w:t>
      </w:r>
    </w:p>
    <w:p>
      <w:pPr>
        <w:pStyle w:val="56"/>
        <w:ind w:firstLine="420"/>
      </w:pPr>
      <w:r>
        <w:rPr>
          <w:rFonts w:hint="eastAsia"/>
        </w:rPr>
        <w:t>校企对学生的安全管理应包括以下内容：</w:t>
      </w:r>
    </w:p>
    <w:p>
      <w:pPr>
        <w:pStyle w:val="132"/>
      </w:pPr>
      <w:r>
        <w:rPr>
          <w:rFonts w:hint="eastAsia"/>
        </w:rPr>
        <w:t>学校及企业需对学生进行安全培训和法律教育，包括安全、消防、卫生、交通等方面的教育和培训，以做好学员学习期间的安全工作。</w:t>
      </w:r>
    </w:p>
    <w:p>
      <w:pPr>
        <w:pStyle w:val="132"/>
      </w:pPr>
      <w:r>
        <w:rPr>
          <w:rFonts w:hint="eastAsia"/>
        </w:rPr>
        <w:t>实训期间校企需向学徒提供必要的安全培训、实习条件、劳动工具、劳保设施和劳保用品。</w:t>
      </w:r>
    </w:p>
    <w:p>
      <w:pPr>
        <w:pStyle w:val="132"/>
      </w:pPr>
      <w:r>
        <w:rPr>
          <w:rFonts w:hint="eastAsia"/>
        </w:rPr>
        <w:t>实训期间校企需向学徒提供商业医疗保险和雇主责任险，学生因工伤造成伤害超过相关保险理赔范围的，由企业依法承担相应责任赔偿费用。</w:t>
      </w:r>
    </w:p>
    <w:p>
      <w:pPr>
        <w:pStyle w:val="56"/>
        <w:ind w:firstLine="420"/>
      </w:pPr>
      <w:r>
        <w:rPr>
          <w:rFonts w:hint="eastAsia"/>
        </w:rPr>
        <w:t>——企业应安排专人负责学徒实习（实训）期间的安全管理工作；</w:t>
      </w:r>
    </w:p>
    <w:p>
      <w:pPr>
        <w:pStyle w:val="56"/>
        <w:ind w:firstLine="420"/>
      </w:pPr>
      <w:r>
        <w:rPr>
          <w:rFonts w:hint="eastAsia"/>
        </w:rPr>
        <w:t>——实习（实训）期间学徒应严守安全用电规程、设备安全操作规程、工艺规程；</w:t>
      </w:r>
    </w:p>
    <w:p>
      <w:pPr>
        <w:pStyle w:val="56"/>
        <w:ind w:firstLine="420"/>
      </w:pPr>
      <w:r>
        <w:rPr>
          <w:rFonts w:hint="eastAsia"/>
        </w:rPr>
        <w:t>——学生禁止酗酒等不健康生活；</w:t>
      </w:r>
    </w:p>
    <w:p>
      <w:pPr>
        <w:pStyle w:val="56"/>
        <w:ind w:firstLine="420"/>
      </w:pPr>
      <w:r>
        <w:rPr>
          <w:rFonts w:hint="eastAsia"/>
        </w:rPr>
        <w:t>——企业应严格考勤请假制度，杜绝学生私自外出；</w:t>
      </w:r>
    </w:p>
    <w:p>
      <w:pPr>
        <w:pStyle w:val="56"/>
        <w:ind w:firstLine="420"/>
      </w:pPr>
      <w:r>
        <w:rPr>
          <w:rFonts w:hint="eastAsia"/>
        </w:rPr>
        <w:t>——企业指导教师应全程跟班，及时发现和解决安全隐患。</w:t>
      </w:r>
    </w:p>
    <w:p>
      <w:pPr>
        <w:pStyle w:val="132"/>
        <w:rPr>
          <w:color w:val="FF0000"/>
        </w:rPr>
      </w:pPr>
      <w:r>
        <w:rPr>
          <w:rFonts w:hint="eastAsia"/>
          <w:color w:val="FF0000"/>
        </w:rPr>
        <w:t>学徒应遵守企业对学徒的其他相关管理制度。</w:t>
      </w:r>
    </w:p>
    <w:p>
      <w:pPr>
        <w:pStyle w:val="65"/>
        <w:spacing w:before="120" w:after="120"/>
      </w:pPr>
      <w:r>
        <w:rPr>
          <w:rFonts w:hint="eastAsia"/>
        </w:rPr>
        <w:t>教师管理要求</w:t>
      </w:r>
    </w:p>
    <w:p>
      <w:pPr>
        <w:pStyle w:val="56"/>
        <w:ind w:firstLine="420"/>
      </w:pPr>
      <w:r>
        <w:rPr>
          <w:rFonts w:hint="eastAsia"/>
        </w:rPr>
        <w:t>对教师的管理应包括以下内容：</w:t>
      </w:r>
    </w:p>
    <w:p>
      <w:pPr>
        <w:pStyle w:val="132"/>
      </w:pPr>
      <w:r>
        <w:rPr>
          <w:rFonts w:hint="eastAsia"/>
        </w:rPr>
        <w:t>聘用的专兼职指导教师必须了解学生管理制度、企业生产经营、工作生活文化、岗位技能及</w:t>
      </w:r>
    </w:p>
    <w:p>
      <w:pPr>
        <w:pStyle w:val="132"/>
        <w:numPr>
          <w:ilvl w:val="0"/>
          <w:numId w:val="0"/>
        </w:numPr>
        <w:ind w:left="425" w:firstLine="420" w:firstLineChars="200"/>
      </w:pPr>
      <w:r>
        <w:rPr>
          <w:rFonts w:hint="eastAsia"/>
        </w:rPr>
        <w:t>素质基本要求等方面基本情况。</w:t>
      </w:r>
    </w:p>
    <w:p>
      <w:pPr>
        <w:pStyle w:val="56"/>
        <w:ind w:firstLine="420"/>
      </w:pPr>
      <w:r>
        <w:rPr>
          <w:rFonts w:hint="eastAsia"/>
        </w:rPr>
        <w:t>——应根据岗位任职要求在实习（实训）开始前一周聘任相应人数的实习（实训）专兼职指导</w:t>
      </w:r>
    </w:p>
    <w:p>
      <w:pPr>
        <w:pStyle w:val="56"/>
        <w:ind w:firstLine="840" w:firstLineChars="400"/>
      </w:pPr>
      <w:r>
        <w:rPr>
          <w:rFonts w:hint="eastAsia"/>
        </w:rPr>
        <w:t>教师，同时对所聘指导教师进行教育教学的基本能力培训，经考核合格方可上岗；</w:t>
      </w:r>
    </w:p>
    <w:p>
      <w:pPr>
        <w:pStyle w:val="56"/>
        <w:ind w:firstLine="420"/>
      </w:pPr>
      <w:r>
        <w:rPr>
          <w:rFonts w:hint="eastAsia"/>
        </w:rPr>
        <w:t>——应根据实习（实训）指导工作的质与量支付相应报酬，每项实习（实训）工作结束后应对</w:t>
      </w:r>
    </w:p>
    <w:p>
      <w:pPr>
        <w:pStyle w:val="56"/>
        <w:ind w:firstLine="840" w:firstLineChars="400"/>
      </w:pPr>
      <w:r>
        <w:rPr>
          <w:rFonts w:hint="eastAsia"/>
        </w:rPr>
        <w:t>所聘指导教师进行考核，对于敷衍塞责、完不成实习（实训）指导工作的教师予以解聘。</w:t>
      </w:r>
    </w:p>
    <w:p>
      <w:pPr>
        <w:pStyle w:val="56"/>
        <w:ind w:firstLine="420"/>
      </w:pPr>
    </w:p>
    <w:p>
      <w:pPr>
        <w:pStyle w:val="104"/>
        <w:spacing w:before="240" w:after="240"/>
      </w:pPr>
      <w:r>
        <w:rPr>
          <w:rFonts w:hint="eastAsia"/>
        </w:rPr>
        <w:t>教学设施要求</w:t>
      </w:r>
    </w:p>
    <w:p>
      <w:pPr>
        <w:pStyle w:val="105"/>
        <w:spacing w:before="120" w:after="120"/>
      </w:pPr>
      <w:r>
        <w:rPr>
          <w:rFonts w:hint="eastAsia"/>
        </w:rPr>
        <w:t>专业教室基本条件</w:t>
      </w:r>
    </w:p>
    <w:p>
      <w:pPr>
        <w:pStyle w:val="56"/>
        <w:ind w:firstLine="420"/>
      </w:pPr>
      <w:r>
        <w:rPr>
          <w:rFonts w:hint="eastAsia"/>
        </w:rPr>
        <w:t>一般配备多媒体计算机、投影设备、白板、音响设备，提供互联网接入和网络安全防护系统。安装应急照明装置，并保持良好状态，符合紧急疏散要求、标志明显、保持逃生通道畅通无阻。</w:t>
      </w:r>
    </w:p>
    <w:p>
      <w:pPr>
        <w:pStyle w:val="105"/>
        <w:spacing w:before="120" w:after="120"/>
      </w:pPr>
      <w:r>
        <w:rPr>
          <w:rFonts w:hint="eastAsia"/>
        </w:rPr>
        <w:t>校内实训室基本要求</w:t>
      </w:r>
    </w:p>
    <w:p>
      <w:pPr>
        <w:pStyle w:val="65"/>
        <w:spacing w:before="120" w:after="120"/>
      </w:pPr>
      <w:r>
        <w:rPr>
          <w:rFonts w:hint="eastAsia"/>
        </w:rPr>
        <w:t>电工实训室</w:t>
      </w:r>
    </w:p>
    <w:p>
      <w:pPr>
        <w:pStyle w:val="56"/>
        <w:ind w:firstLine="420"/>
      </w:pPr>
      <w:r>
        <w:rPr>
          <w:rFonts w:hint="eastAsia"/>
        </w:rPr>
        <w:t>主要设备包括电工综合实训台、常用电工仪表及工具等，支持电工基础课程的教学与实训。</w:t>
      </w:r>
    </w:p>
    <w:p>
      <w:pPr>
        <w:pStyle w:val="65"/>
        <w:spacing w:before="120" w:after="120"/>
      </w:pPr>
      <w:r>
        <w:rPr>
          <w:rFonts w:hint="eastAsia"/>
        </w:rPr>
        <w:t>电子技术实训室</w:t>
      </w:r>
    </w:p>
    <w:p>
      <w:pPr>
        <w:pStyle w:val="56"/>
        <w:ind w:firstLine="420"/>
      </w:pPr>
      <w:r>
        <w:rPr>
          <w:rFonts w:hint="eastAsia"/>
        </w:rPr>
        <w:t>主要设备包括电子技术实训台、示波器、信号发生器、直流稳压电源等，支持电子技术课程的教学与实训。</w:t>
      </w:r>
    </w:p>
    <w:p>
      <w:pPr>
        <w:pStyle w:val="65"/>
        <w:spacing w:before="120" w:after="120"/>
      </w:pPr>
      <w:r>
        <w:rPr>
          <w:rFonts w:hint="eastAsia"/>
        </w:rPr>
        <w:t>电机技术实训室</w:t>
      </w:r>
    </w:p>
    <w:p>
      <w:pPr>
        <w:pStyle w:val="56"/>
        <w:ind w:firstLine="420"/>
      </w:pPr>
      <w:r>
        <w:rPr>
          <w:rFonts w:hint="eastAsia"/>
        </w:rPr>
        <w:t>主要设备包括电机综合实训台、旋转电机、万用表等，支持电机技术课程的教学与实训。</w:t>
      </w:r>
    </w:p>
    <w:p>
      <w:pPr>
        <w:pStyle w:val="65"/>
        <w:spacing w:before="120" w:after="120"/>
      </w:pPr>
      <w:r>
        <w:rPr>
          <w:rFonts w:hint="eastAsia"/>
        </w:rPr>
        <w:t>电气制图实训室</w:t>
      </w:r>
    </w:p>
    <w:p>
      <w:pPr>
        <w:pStyle w:val="56"/>
        <w:ind w:firstLine="420"/>
      </w:pPr>
      <w:r>
        <w:rPr>
          <w:rFonts w:hint="eastAsia"/>
        </w:rPr>
        <w:t>主要设备包括绘图工具、投影仪、多媒体教学系统、主流 CAD 软件,支持电气制图与 CAD 课程的教学与实训。</w:t>
      </w:r>
    </w:p>
    <w:p>
      <w:pPr>
        <w:pStyle w:val="65"/>
        <w:spacing w:before="120" w:after="120"/>
      </w:pPr>
      <w:r>
        <w:rPr>
          <w:rFonts w:hint="eastAsia"/>
        </w:rPr>
        <w:t>PLC综合实训室</w:t>
      </w:r>
    </w:p>
    <w:p>
      <w:pPr>
        <w:pStyle w:val="56"/>
        <w:ind w:firstLine="420"/>
      </w:pPr>
      <w:r>
        <w:rPr>
          <w:rFonts w:hint="eastAsia"/>
        </w:rPr>
        <w:t>主要设备包括PLC 及变频器成套实训台、计算机，支持PLC电气控制技术等课程的教学与实训。</w:t>
      </w:r>
    </w:p>
    <w:p>
      <w:pPr>
        <w:pStyle w:val="65"/>
        <w:spacing w:before="120" w:after="120"/>
      </w:pPr>
      <w:r>
        <w:rPr>
          <w:rFonts w:hint="eastAsia"/>
        </w:rPr>
        <w:t>高电压实训室</w:t>
      </w:r>
    </w:p>
    <w:p>
      <w:pPr>
        <w:pStyle w:val="56"/>
        <w:ind w:firstLine="420"/>
      </w:pPr>
      <w:r>
        <w:rPr>
          <w:rFonts w:hint="eastAsia"/>
        </w:rPr>
        <w:t>主要设备包括绝缘电阻测定仪、泄漏电流测试仪、介质损耗测试仪、接地电阻测试仪等，可完成放电理论演示、介质特性参数测量、常规高压试验，用于高电压技术课程的教学、实训及相关职业技能鉴定。</w:t>
      </w:r>
    </w:p>
    <w:p>
      <w:pPr>
        <w:pStyle w:val="65"/>
        <w:spacing w:before="120" w:after="120"/>
      </w:pPr>
      <w:r>
        <w:rPr>
          <w:rFonts w:hint="eastAsia"/>
        </w:rPr>
        <w:t>继电保护实训室</w:t>
      </w:r>
    </w:p>
    <w:p>
      <w:pPr>
        <w:pStyle w:val="56"/>
        <w:ind w:firstLine="420"/>
      </w:pPr>
      <w:r>
        <w:rPr>
          <w:rFonts w:hint="eastAsia"/>
        </w:rPr>
        <w:t>主要设备包括线路保护装置、变压器保护装置、电容器保护装置、继电保护测试仪等，可完成保护原理实验以及主要电气设备保护装置的综合性实训，用于电力系统继电保护、二次接线等课程的教学、实训及相关职业技能鉴定。</w:t>
      </w:r>
    </w:p>
    <w:p>
      <w:pPr>
        <w:pStyle w:val="65"/>
        <w:spacing w:before="120" w:after="120"/>
      </w:pPr>
      <w:r>
        <w:rPr>
          <w:rFonts w:hint="eastAsia"/>
        </w:rPr>
        <w:t>电站仿真实训室</w:t>
      </w:r>
    </w:p>
    <w:p>
      <w:pPr>
        <w:pStyle w:val="56"/>
        <w:ind w:firstLine="420"/>
      </w:pPr>
      <w:r>
        <w:rPr>
          <w:rFonts w:hint="eastAsia"/>
        </w:rPr>
        <w:t>主要设备包括服务器、计算机、发电厂仿真系统、变电站仿真系统。用于发电厂运行的仿真操作、变电站运行的模拟操作、电气设备倒闸模拟操作、电力系统模拟事故操作等项目实践课程的教学与实训。</w:t>
      </w:r>
    </w:p>
    <w:p>
      <w:pPr>
        <w:pStyle w:val="65"/>
        <w:spacing w:before="120" w:after="120"/>
      </w:pPr>
      <w:r>
        <w:rPr>
          <w:rFonts w:hint="eastAsia"/>
        </w:rPr>
        <w:t>电力系统通信实训室</w:t>
      </w:r>
    </w:p>
    <w:p>
      <w:pPr>
        <w:pStyle w:val="56"/>
        <w:ind w:firstLine="420"/>
      </w:pPr>
      <w:r>
        <w:rPr>
          <w:rFonts w:hint="eastAsia"/>
        </w:rPr>
        <w:t>主要设备包括装用实训台、通信原理试验箱、程控交换实训设备、移动通信实训设备、光纤通信实训设备等。</w:t>
      </w:r>
    </w:p>
    <w:p>
      <w:pPr>
        <w:pStyle w:val="65"/>
        <w:spacing w:before="120" w:after="120"/>
      </w:pPr>
      <w:r>
        <w:rPr>
          <w:rFonts w:hint="eastAsia"/>
        </w:rPr>
        <w:t>自动控制实训室</w:t>
      </w:r>
    </w:p>
    <w:p>
      <w:pPr>
        <w:pStyle w:val="56"/>
        <w:ind w:firstLine="420"/>
      </w:pPr>
      <w:r>
        <w:rPr>
          <w:rFonts w:hint="eastAsia"/>
        </w:rPr>
        <w:t>主要设备包括组态软件系统、计算机、触摸屏等。</w:t>
      </w:r>
    </w:p>
    <w:p>
      <w:pPr>
        <w:pStyle w:val="104"/>
        <w:spacing w:before="240" w:after="240"/>
      </w:pPr>
      <w:r>
        <w:rPr>
          <w:rFonts w:hint="eastAsia"/>
        </w:rPr>
        <w:t>师资队伍要求</w:t>
      </w:r>
    </w:p>
    <w:p>
      <w:pPr>
        <w:pStyle w:val="105"/>
        <w:spacing w:before="120" w:after="120"/>
      </w:pPr>
      <w:r>
        <w:rPr>
          <w:rFonts w:hint="eastAsia"/>
        </w:rPr>
        <w:t>专任教师</w:t>
      </w:r>
    </w:p>
    <w:p>
      <w:pPr>
        <w:pStyle w:val="56"/>
        <w:ind w:firstLine="420"/>
      </w:pPr>
      <w:r>
        <w:rPr>
          <w:rFonts w:hint="eastAsia"/>
        </w:rPr>
        <w:t>在职业院校，专任教师负责学习领域课程的开发和教学实施，负责培养学生的专业知识、基本职业技能以及人文素养，宜具备以下能力和资质：</w:t>
      </w:r>
    </w:p>
    <w:p>
      <w:pPr>
        <w:pStyle w:val="56"/>
        <w:ind w:firstLine="420"/>
      </w:pPr>
      <w:r>
        <w:rPr>
          <w:rFonts w:hint="eastAsia"/>
        </w:rPr>
        <w:t>——具有一定年限的相应工作经历或者实践经验，达到相应的技术技能水平；</w:t>
      </w:r>
    </w:p>
    <w:p>
      <w:pPr>
        <w:pStyle w:val="56"/>
        <w:ind w:firstLine="420"/>
      </w:pPr>
      <w:r>
        <w:rPr>
          <w:rFonts w:hint="eastAsia"/>
        </w:rPr>
        <w:t>——具有教师资格证书；</w:t>
      </w:r>
    </w:p>
    <w:p>
      <w:pPr>
        <w:pStyle w:val="56"/>
        <w:ind w:firstLine="420"/>
      </w:pPr>
      <w:r>
        <w:rPr>
          <w:rFonts w:hint="eastAsia"/>
        </w:rPr>
        <w:t>——了解企业涉及的专业技术岗位任务，掌握岗位的生产、服务流程和技术标准；</w:t>
      </w:r>
    </w:p>
    <w:p>
      <w:pPr>
        <w:pStyle w:val="56"/>
        <w:ind w:firstLine="420"/>
      </w:pPr>
      <w:r>
        <w:rPr>
          <w:rFonts w:hint="eastAsia"/>
        </w:rPr>
        <w:t>——能够根据岗位任务开发教学内容，制定教学计划，根据生产、服务流程设计完整的教学过程；</w:t>
      </w:r>
    </w:p>
    <w:p>
      <w:pPr>
        <w:pStyle w:val="56"/>
        <w:ind w:firstLine="420"/>
      </w:pPr>
      <w:r>
        <w:rPr>
          <w:rFonts w:hint="eastAsia"/>
        </w:rPr>
        <w:t>——能够灵活运用多种教学方法和教学手段；</w:t>
      </w:r>
    </w:p>
    <w:p>
      <w:pPr>
        <w:pStyle w:val="56"/>
        <w:ind w:firstLine="420"/>
      </w:pPr>
      <w:r>
        <w:rPr>
          <w:rFonts w:hint="eastAsia"/>
        </w:rPr>
        <w:t>——所教专业内容匹配的科学文化与专业知识；</w:t>
      </w:r>
    </w:p>
    <w:p>
      <w:pPr>
        <w:pStyle w:val="105"/>
        <w:spacing w:before="120" w:after="120"/>
      </w:pPr>
      <w:r>
        <w:rPr>
          <w:rFonts w:hint="eastAsia"/>
        </w:rPr>
        <w:t>培训师</w:t>
      </w:r>
    </w:p>
    <w:p>
      <w:pPr>
        <w:pStyle w:val="56"/>
        <w:ind w:firstLine="420"/>
      </w:pPr>
      <w:r>
        <w:rPr>
          <w:rFonts w:hint="eastAsia"/>
        </w:rPr>
        <w:t>在培训中心，培训师负责职业培训课程的开发和培训实施，负责培养学徒的职业通用技能和职业素养，宜具备以下能力和资质：</w:t>
      </w:r>
    </w:p>
    <w:p>
      <w:pPr>
        <w:pStyle w:val="56"/>
        <w:ind w:firstLine="420"/>
      </w:pPr>
      <w:r>
        <w:rPr>
          <w:rFonts w:hint="eastAsia"/>
        </w:rPr>
        <w:t>——熟悉校企联培职业教育理念与培训方法；</w:t>
      </w:r>
    </w:p>
    <w:p>
      <w:pPr>
        <w:pStyle w:val="56"/>
        <w:ind w:firstLine="420"/>
      </w:pPr>
      <w:r>
        <w:rPr>
          <w:rFonts w:hint="eastAsia"/>
        </w:rPr>
        <w:t>——承担过企业专业技术工作；</w:t>
      </w:r>
    </w:p>
    <w:p>
      <w:pPr>
        <w:pStyle w:val="56"/>
        <w:ind w:firstLine="420"/>
      </w:pPr>
      <w:r>
        <w:rPr>
          <w:rFonts w:hint="eastAsia"/>
        </w:rPr>
        <w:t>——取得大专学历或职业资格证书或专业技术职称等；</w:t>
      </w:r>
    </w:p>
    <w:p>
      <w:pPr>
        <w:pStyle w:val="56"/>
        <w:ind w:firstLine="420"/>
      </w:pPr>
      <w:r>
        <w:rPr>
          <w:rFonts w:hint="eastAsia"/>
        </w:rPr>
        <w:t>——具备现场管理、安全管理、仓库管理、设备管理等企业现场管理经验；</w:t>
      </w:r>
    </w:p>
    <w:p>
      <w:pPr>
        <w:pStyle w:val="56"/>
        <w:ind w:firstLine="420"/>
      </w:pPr>
      <w:r>
        <w:rPr>
          <w:rFonts w:hint="eastAsia"/>
        </w:rPr>
        <w:t>——能够根据岗位任务开发培训内容，制定培训计划，根据生产、服务流程设计培训过程；</w:t>
      </w:r>
    </w:p>
    <w:p>
      <w:pPr>
        <w:pStyle w:val="56"/>
        <w:ind w:firstLine="420"/>
      </w:pPr>
      <w:r>
        <w:rPr>
          <w:rFonts w:hint="eastAsia"/>
        </w:rPr>
        <w:t>——具有良好的职业道德和职业操守。</w:t>
      </w:r>
    </w:p>
    <w:p>
      <w:pPr>
        <w:pStyle w:val="105"/>
        <w:spacing w:before="120" w:after="120"/>
      </w:pPr>
      <w:r>
        <w:rPr>
          <w:rFonts w:hint="eastAsia"/>
        </w:rPr>
        <w:t>岗位师傅</w:t>
      </w:r>
    </w:p>
    <w:p>
      <w:pPr>
        <w:pStyle w:val="56"/>
        <w:ind w:firstLine="420"/>
      </w:pPr>
      <w:r>
        <w:rPr>
          <w:rFonts w:hint="eastAsia"/>
        </w:rPr>
        <w:t>在企业，岗位师傅负责岗位实践课程的开发和培训实施，负责培养员工的专业技能和社会能力等，宜具备以下能力和资质：</w:t>
      </w:r>
    </w:p>
    <w:p>
      <w:pPr>
        <w:pStyle w:val="56"/>
        <w:ind w:firstLine="420"/>
      </w:pPr>
      <w:r>
        <w:rPr>
          <w:rFonts w:hint="eastAsia"/>
        </w:rPr>
        <w:t>——具备企业专业技术岗位生产、服务经验和岗位管理经验；</w:t>
      </w:r>
    </w:p>
    <w:p>
      <w:pPr>
        <w:pStyle w:val="56"/>
        <w:ind w:firstLine="420"/>
      </w:pPr>
      <w:r>
        <w:rPr>
          <w:rFonts w:hint="eastAsia"/>
        </w:rPr>
        <w:t>——取得大专学历或职业资格证书或专业技术职称等；</w:t>
      </w:r>
    </w:p>
    <w:p>
      <w:pPr>
        <w:pStyle w:val="56"/>
        <w:ind w:firstLine="420"/>
      </w:pPr>
      <w:r>
        <w:rPr>
          <w:rFonts w:hint="eastAsia"/>
        </w:rPr>
        <w:t>——具备启发式技术交流沟通能力，善于运用体验、模仿、研讨等教学方法；</w:t>
      </w:r>
    </w:p>
    <w:p>
      <w:pPr>
        <w:pStyle w:val="56"/>
        <w:ind w:firstLine="420"/>
      </w:pPr>
      <w:r>
        <w:rPr>
          <w:rFonts w:hint="eastAsia"/>
        </w:rPr>
        <w:t>——具有良好的职业道德和职业操守。</w:t>
      </w:r>
    </w:p>
    <w:p>
      <w:pPr>
        <w:pStyle w:val="104"/>
        <w:spacing w:before="240" w:after="240"/>
      </w:pPr>
      <w:r>
        <w:rPr>
          <w:rFonts w:hint="eastAsia"/>
        </w:rPr>
        <w:t>教学资源要求</w:t>
      </w:r>
    </w:p>
    <w:p>
      <w:pPr>
        <w:pStyle w:val="105"/>
        <w:spacing w:before="120" w:after="120"/>
      </w:pPr>
      <w:r>
        <w:rPr>
          <w:rFonts w:hint="eastAsia"/>
        </w:rPr>
        <w:t>教材选用</w:t>
      </w:r>
    </w:p>
    <w:p>
      <w:pPr>
        <w:pStyle w:val="56"/>
        <w:ind w:firstLine="420"/>
      </w:pPr>
      <w:r>
        <w:rPr>
          <w:rFonts w:hint="eastAsia"/>
        </w:rPr>
        <w:t>按照《职业院校教材管理办法》选用优质教材，防止不合格的教材进入课堂。按照学校教材选用制度，建立由专业教师、行业专家和教研人员等参与的教材选用机构，经过规范程序择优选用教材。优先选用国家规划教材、数字化或立体化教材。</w:t>
      </w:r>
    </w:p>
    <w:p>
      <w:pPr>
        <w:pStyle w:val="105"/>
        <w:spacing w:before="120" w:after="120"/>
      </w:pPr>
      <w:r>
        <w:rPr>
          <w:rFonts w:hint="eastAsia"/>
        </w:rPr>
        <w:t>图书、文献配备</w:t>
      </w:r>
    </w:p>
    <w:p>
      <w:pPr>
        <w:pStyle w:val="56"/>
        <w:ind w:firstLine="420"/>
      </w:pPr>
      <w:r>
        <w:rPr>
          <w:rFonts w:hint="eastAsia"/>
        </w:rPr>
        <w:t>图书文献配备能满足人才培养、专业建设、教科研等工作的需要。专业类图书文献主要包括:有关电力系统自动化技术的专业图书和法规、标准、方法、操作规范以及实务案例类图书等。及时配置新经济、新技术、新工艺、新管理方式、新服务方式等相关的图书文献。</w:t>
      </w:r>
    </w:p>
    <w:p>
      <w:pPr>
        <w:pStyle w:val="105"/>
        <w:spacing w:before="120" w:after="120"/>
      </w:pPr>
      <w:r>
        <w:rPr>
          <w:rFonts w:hint="eastAsia"/>
        </w:rPr>
        <w:t>数字资源配备</w:t>
      </w:r>
    </w:p>
    <w:p>
      <w:pPr>
        <w:pStyle w:val="56"/>
        <w:ind w:firstLine="420"/>
      </w:pPr>
      <w:r>
        <w:rPr>
          <w:rFonts w:hint="eastAsia"/>
        </w:rPr>
        <w:t>建设、配备与本专业有关的音视频素材、教学课件、数字化教学案例库、虚拟仿真软件、数字教材等数字资源，种类丰富、形式多样。</w:t>
      </w:r>
    </w:p>
    <w:p>
      <w:pPr>
        <w:pStyle w:val="104"/>
        <w:spacing w:before="240" w:after="240"/>
      </w:pPr>
      <w:r>
        <w:rPr>
          <w:rFonts w:hint="eastAsia"/>
        </w:rPr>
        <w:t>实训要求</w:t>
      </w:r>
    </w:p>
    <w:p>
      <w:pPr>
        <w:pStyle w:val="105"/>
        <w:spacing w:before="120" w:after="120"/>
      </w:pPr>
      <w:r>
        <w:rPr>
          <w:rFonts w:hint="eastAsia"/>
        </w:rPr>
        <w:t>（实习）实训企业的选择</w:t>
      </w:r>
    </w:p>
    <w:p>
      <w:pPr>
        <w:pStyle w:val="56"/>
        <w:ind w:firstLine="420"/>
      </w:pPr>
      <w:r>
        <w:rPr>
          <w:rFonts w:hint="eastAsia"/>
        </w:rPr>
        <w:t>实训企业的选择应具备但不限于如下条件：</w:t>
      </w:r>
    </w:p>
    <w:p>
      <w:pPr>
        <w:pStyle w:val="132"/>
      </w:pPr>
      <w:r>
        <w:rPr>
          <w:rFonts w:hint="eastAsia"/>
        </w:rPr>
        <w:t>应选择与“电力工匠班”所学专业对口的企业，同时具备引领产业发展和创新需求的实践教学实训企业；</w:t>
      </w:r>
    </w:p>
    <w:p>
      <w:pPr>
        <w:pStyle w:val="132"/>
      </w:pPr>
      <w:r>
        <w:rPr>
          <w:rFonts w:hint="eastAsia"/>
        </w:rPr>
        <w:t>应选择兼具生产、教学、研发、创新创业功能的校企一体、产学研用协同的大型龙头企业、实训实习企业。</w:t>
      </w:r>
    </w:p>
    <w:p>
      <w:pPr>
        <w:pStyle w:val="105"/>
        <w:spacing w:before="120" w:after="120"/>
      </w:pPr>
      <w:r>
        <w:rPr>
          <w:rFonts w:hint="eastAsia"/>
        </w:rPr>
        <w:t>（实习）实训企业资质条件要求</w:t>
      </w:r>
    </w:p>
    <w:p>
      <w:pPr>
        <w:pStyle w:val="56"/>
        <w:ind w:firstLine="420"/>
      </w:pPr>
      <w:r>
        <w:rPr>
          <w:rFonts w:hint="eastAsia"/>
        </w:rPr>
        <w:t>应选择符合以下条件的机关企（事）业单位作为企业：</w:t>
      </w:r>
    </w:p>
    <w:p>
      <w:pPr>
        <w:pStyle w:val="56"/>
        <w:ind w:firstLine="420"/>
      </w:pPr>
      <w:r>
        <w:rPr>
          <w:rFonts w:hint="eastAsia"/>
        </w:rPr>
        <w:t>——合法经营，无违法失信记录；</w:t>
      </w:r>
    </w:p>
    <w:p>
      <w:pPr>
        <w:pStyle w:val="56"/>
        <w:ind w:firstLine="420"/>
      </w:pPr>
      <w:r>
        <w:rPr>
          <w:rFonts w:hint="eastAsia"/>
        </w:rPr>
        <w:t>——管理规范，近3年无违反安全生产相关法律法规记录；</w:t>
      </w:r>
    </w:p>
    <w:p>
      <w:pPr>
        <w:pStyle w:val="56"/>
        <w:ind w:firstLine="420"/>
      </w:pPr>
      <w:r>
        <w:rPr>
          <w:rFonts w:hint="eastAsia"/>
        </w:rPr>
        <w:t>——实习（实训）条件完备，符合专业培养要求，符合产业发展实际。</w:t>
      </w:r>
    </w:p>
    <w:p>
      <w:pPr>
        <w:pStyle w:val="105"/>
        <w:spacing w:before="120" w:after="120"/>
      </w:pPr>
      <w:r>
        <w:rPr>
          <w:rFonts w:hint="eastAsia"/>
        </w:rPr>
        <w:t xml:space="preserve"> （实习）实训企业设施要求</w:t>
      </w:r>
    </w:p>
    <w:p>
      <w:pPr>
        <w:pStyle w:val="65"/>
        <w:spacing w:before="120" w:after="120"/>
        <w:rPr>
          <w:rFonts w:ascii="宋体" w:hAnsi="宋体" w:eastAsia="宋体"/>
        </w:rPr>
      </w:pPr>
      <w:r>
        <w:rPr>
          <w:rFonts w:hint="eastAsia" w:ascii="宋体" w:hAnsi="宋体" w:eastAsia="宋体"/>
        </w:rPr>
        <w:t>应符合教育部职业院校专业教学标准和教育部职业院校专业实训教学条件建设标准（职业学校专业仪器设备装备规范）要求配置。</w:t>
      </w:r>
    </w:p>
    <w:p>
      <w:pPr>
        <w:pStyle w:val="65"/>
        <w:spacing w:before="120" w:after="120"/>
        <w:rPr>
          <w:rFonts w:ascii="宋体" w:hAnsi="宋体" w:eastAsia="宋体"/>
        </w:rPr>
      </w:pPr>
      <w:r>
        <w:rPr>
          <w:rFonts w:hint="eastAsia" w:ascii="宋体" w:hAnsi="宋体" w:eastAsia="宋体"/>
        </w:rPr>
        <w:t>按照企业对技术技能培养需求和第三方认证需求的条件进行硬件设施配置。宜设置与培训模块相匹配的专业技术培训区、学习交流区、物品物料存放区等培训功能区。</w:t>
      </w:r>
    </w:p>
    <w:p>
      <w:pPr>
        <w:pStyle w:val="105"/>
        <w:spacing w:before="120" w:after="120"/>
      </w:pPr>
      <w:r>
        <w:rPr>
          <w:rFonts w:hint="eastAsia"/>
        </w:rPr>
        <w:t>（实习）实训企业管理要求</w:t>
      </w:r>
    </w:p>
    <w:p>
      <w:pPr>
        <w:pStyle w:val="65"/>
        <w:spacing w:before="120" w:after="120"/>
      </w:pPr>
      <w:r>
        <w:rPr>
          <w:rFonts w:hint="eastAsia"/>
        </w:rPr>
        <w:t>管理制度</w:t>
      </w:r>
    </w:p>
    <w:p>
      <w:pPr>
        <w:pStyle w:val="56"/>
        <w:ind w:firstLine="420"/>
      </w:pPr>
      <w:r>
        <w:rPr>
          <w:rFonts w:hint="eastAsia"/>
        </w:rPr>
        <w:t>企业应配合职业院校建立健全实习（实训）学生岗位责任制和相关管理制度，包括但不限于：</w:t>
      </w:r>
    </w:p>
    <w:p>
      <w:pPr>
        <w:pStyle w:val="56"/>
        <w:ind w:firstLine="420"/>
      </w:pPr>
      <w:r>
        <w:rPr>
          <w:rFonts w:hint="eastAsia"/>
        </w:rPr>
        <w:t>——实习（实训）学生管理办法；</w:t>
      </w:r>
    </w:p>
    <w:p>
      <w:pPr>
        <w:pStyle w:val="56"/>
        <w:ind w:firstLine="420"/>
      </w:pPr>
      <w:r>
        <w:rPr>
          <w:rFonts w:hint="eastAsia"/>
        </w:rPr>
        <w:t>——实习（实训）学生安全管理规定及突发事件应急预案；</w:t>
      </w:r>
    </w:p>
    <w:p>
      <w:pPr>
        <w:pStyle w:val="132"/>
      </w:pPr>
      <w:r>
        <w:rPr>
          <w:rFonts w:hint="eastAsia"/>
        </w:rPr>
        <w:t>实习（实训）学生安全管理办法。</w:t>
      </w:r>
    </w:p>
    <w:p>
      <w:pPr>
        <w:pStyle w:val="105"/>
        <w:spacing w:before="120" w:after="120"/>
      </w:pPr>
      <w:r>
        <w:rPr>
          <w:rFonts w:hint="eastAsia"/>
        </w:rPr>
        <w:t>实习（实训）督导</w:t>
      </w:r>
    </w:p>
    <w:p>
      <w:pPr>
        <w:pStyle w:val="56"/>
        <w:ind w:firstLine="420"/>
      </w:pPr>
      <w:r>
        <w:rPr>
          <w:rFonts w:hint="eastAsia"/>
        </w:rPr>
        <w:t>职业院校指导教师应对实习（实训）过程进行全面的监督与指导，及时排除影响过程进行的各种不</w:t>
      </w:r>
    </w:p>
    <w:p>
      <w:pPr>
        <w:pStyle w:val="56"/>
        <w:ind w:firstLine="0" w:firstLineChars="0"/>
      </w:pPr>
      <w:r>
        <w:rPr>
          <w:rFonts w:hint="eastAsia"/>
        </w:rPr>
        <w:t>利因素，根据实习（实训）日志和企业意见等对实习（实训）的结果进行评价，及时对学生进行督导。</w:t>
      </w:r>
    </w:p>
    <w:p>
      <w:pPr>
        <w:pStyle w:val="105"/>
        <w:spacing w:before="120" w:after="120"/>
      </w:pPr>
      <w:r>
        <w:rPr>
          <w:rFonts w:hint="eastAsia"/>
        </w:rPr>
        <w:t>实习（实训）鉴定</w:t>
      </w:r>
      <w:r>
        <w:t xml:space="preserve">  </w:t>
      </w:r>
    </w:p>
    <w:p>
      <w:pPr>
        <w:pStyle w:val="56"/>
        <w:ind w:firstLine="420"/>
      </w:pPr>
      <w:r>
        <w:rPr>
          <w:rFonts w:hint="eastAsia"/>
        </w:rPr>
        <w:t>实习（实训）结束时，企业应要求学生认真完成实习（实训）报告。同时，应由校企双方共同做好</w:t>
      </w:r>
    </w:p>
    <w:p>
      <w:pPr>
        <w:pStyle w:val="56"/>
        <w:ind w:firstLine="0" w:firstLineChars="0"/>
      </w:pPr>
      <w:r>
        <w:rPr>
          <w:rFonts w:hint="eastAsia"/>
        </w:rPr>
        <w:t>对每个学生实习（实训）成绩的考核、评分和实习（实训）总结工作，成绩表应盖上企业所属机关企（事）</w:t>
      </w:r>
    </w:p>
    <w:p>
      <w:pPr>
        <w:pStyle w:val="56"/>
        <w:ind w:firstLine="0" w:firstLineChars="0"/>
      </w:pPr>
      <w:r>
        <w:rPr>
          <w:rFonts w:hint="eastAsia"/>
        </w:rPr>
        <w:t>业单位公章，学生以此作为实习（实训）经历的凭证。</w:t>
      </w:r>
    </w:p>
    <w:p>
      <w:pPr>
        <w:pStyle w:val="104"/>
        <w:spacing w:before="240" w:after="240"/>
      </w:pPr>
      <w:r>
        <w:rPr>
          <w:rFonts w:hint="eastAsia"/>
        </w:rPr>
        <w:t>毕业要求</w:t>
      </w:r>
    </w:p>
    <w:p>
      <w:pPr>
        <w:pStyle w:val="105"/>
        <w:spacing w:before="120" w:after="120"/>
      </w:pPr>
      <w:r>
        <w:rPr>
          <w:rFonts w:hint="eastAsia"/>
        </w:rPr>
        <w:t>总体要求</w:t>
      </w:r>
    </w:p>
    <w:p>
      <w:pPr>
        <w:pStyle w:val="56"/>
        <w:ind w:firstLine="420"/>
      </w:pPr>
      <w:r>
        <w:rPr>
          <w:rFonts w:hint="eastAsia"/>
        </w:rPr>
        <w:t>学生应在系统学习本专业知识并完成不少于1年实习实训基础上，达成“树匠心、懂原理、能运维、精数据、可发展”数字工匠培养目标，完善支撑培养目标的毕业要求能力点，实现德智体美劳全面</w:t>
      </w:r>
    </w:p>
    <w:p>
      <w:pPr>
        <w:pStyle w:val="56"/>
        <w:ind w:firstLine="0" w:firstLineChars="0"/>
      </w:pPr>
      <w:r>
        <w:rPr>
          <w:rFonts w:hint="eastAsia"/>
        </w:rPr>
        <w:t>发展。同时毕业生应在个人素质、专业知识和技术能力等方面达到相应的要求，详见附录A。</w:t>
      </w:r>
    </w:p>
    <w:p>
      <w:pPr>
        <w:pStyle w:val="105"/>
        <w:spacing w:before="120" w:after="120"/>
      </w:pPr>
      <w:r>
        <w:rPr>
          <w:rFonts w:hint="eastAsia"/>
        </w:rPr>
        <w:t>评价方式</w:t>
      </w:r>
    </w:p>
    <w:p>
      <w:pPr>
        <w:pStyle w:val="65"/>
        <w:spacing w:before="120" w:after="120"/>
      </w:pPr>
      <w:r>
        <w:rPr>
          <w:rFonts w:hint="eastAsia"/>
        </w:rPr>
        <w:t>概述</w:t>
      </w:r>
    </w:p>
    <w:p>
      <w:pPr>
        <w:pStyle w:val="56"/>
        <w:ind w:firstLine="420"/>
      </w:pPr>
      <w:r>
        <w:rPr>
          <w:rFonts w:hint="eastAsia"/>
        </w:rPr>
        <w:t>评价方式分为理论知识考试、职业技能考核以及综合测评。理论知识考试、职业技能考核和综合测</w:t>
      </w:r>
    </w:p>
    <w:p>
      <w:pPr>
        <w:pStyle w:val="56"/>
        <w:ind w:firstLine="0" w:firstLineChars="0"/>
      </w:pPr>
      <w:r>
        <w:rPr>
          <w:rFonts w:hint="eastAsia"/>
        </w:rPr>
        <w:t>评均实行百分制，成绩皆达60 分（含）以上者为合格。评价人员应为职业学校方、企业方及第三方评价机构的技术人员。</w:t>
      </w:r>
    </w:p>
    <w:p>
      <w:pPr>
        <w:pStyle w:val="65"/>
        <w:spacing w:before="120" w:after="120"/>
      </w:pPr>
      <w:r>
        <w:rPr>
          <w:rFonts w:hint="eastAsia"/>
        </w:rPr>
        <w:t>理论知识考试</w:t>
      </w:r>
    </w:p>
    <w:p>
      <w:pPr>
        <w:pStyle w:val="56"/>
        <w:ind w:firstLine="420"/>
      </w:pPr>
      <w:r>
        <w:rPr>
          <w:rFonts w:hint="eastAsia"/>
        </w:rPr>
        <w:t>理论知识考试采用笔试、机考等方式进行，主要考核学生从事相关职业应掌握的通用要求和知识要</w:t>
      </w:r>
    </w:p>
    <w:p>
      <w:pPr>
        <w:pStyle w:val="56"/>
        <w:ind w:firstLine="0" w:firstLineChars="0"/>
      </w:pPr>
      <w:r>
        <w:rPr>
          <w:rFonts w:hint="eastAsia"/>
        </w:rPr>
        <w:t>求。</w:t>
      </w:r>
    </w:p>
    <w:p>
      <w:pPr>
        <w:pStyle w:val="65"/>
        <w:spacing w:before="120" w:after="120"/>
      </w:pPr>
      <w:r>
        <w:rPr>
          <w:rFonts w:hint="eastAsia"/>
        </w:rPr>
        <w:t>职业技能考核</w:t>
      </w:r>
    </w:p>
    <w:p>
      <w:pPr>
        <w:pStyle w:val="56"/>
        <w:ind w:firstLine="420"/>
      </w:pPr>
      <w:r>
        <w:rPr>
          <w:rFonts w:hint="eastAsia"/>
        </w:rPr>
        <w:t>职业技能考核采用现场操作、模拟操作等方式进行，主要考核学生从事相关职业应具备的技能水平</w:t>
      </w:r>
    </w:p>
    <w:p>
      <w:pPr>
        <w:pStyle w:val="56"/>
        <w:ind w:firstLine="0" w:firstLineChars="0"/>
      </w:pPr>
      <w:r>
        <w:rPr>
          <w:rFonts w:hint="eastAsia"/>
        </w:rPr>
        <w:t>和职业素质。</w:t>
      </w:r>
    </w:p>
    <w:p>
      <w:pPr>
        <w:pStyle w:val="65"/>
        <w:spacing w:before="120" w:after="120"/>
      </w:pPr>
      <w:r>
        <w:rPr>
          <w:rFonts w:hint="eastAsia"/>
        </w:rPr>
        <w:t>综合测评</w:t>
      </w:r>
    </w:p>
    <w:p>
      <w:pPr>
        <w:pStyle w:val="56"/>
        <w:ind w:firstLine="420"/>
      </w:pPr>
      <w:r>
        <w:rPr>
          <w:rFonts w:hint="eastAsia"/>
        </w:rPr>
        <w:t>综合测评为第三方职业资格认证，采取应用性理论知识考试与项目实操考评等方式进行，主要考核</w:t>
      </w:r>
    </w:p>
    <w:p>
      <w:pPr>
        <w:pStyle w:val="56"/>
        <w:ind w:firstLine="0" w:firstLineChars="0"/>
      </w:pPr>
      <w:r>
        <w:rPr>
          <w:rFonts w:hint="eastAsia"/>
        </w:rPr>
        <w:t>学生相关职业应具备的综合素质和职业能力。</w:t>
      </w:r>
    </w:p>
    <w:p>
      <w:pPr>
        <w:pStyle w:val="105"/>
        <w:spacing w:before="120" w:after="120"/>
      </w:pPr>
      <w:r>
        <w:rPr>
          <w:rFonts w:hint="eastAsia"/>
        </w:rPr>
        <w:t>评价标准</w:t>
      </w:r>
    </w:p>
    <w:p>
      <w:pPr>
        <w:pStyle w:val="56"/>
        <w:ind w:firstLine="420"/>
      </w:pPr>
      <w:r>
        <w:rPr>
          <w:rFonts w:hint="eastAsia"/>
        </w:rPr>
        <w:t>理论知识考试、职业技能考核内容应符合附录A。学生培训综合测评考核评分表见附录B。</w:t>
      </w:r>
    </w:p>
    <w:p>
      <w:pPr>
        <w:pStyle w:val="105"/>
        <w:spacing w:before="120" w:after="120"/>
      </w:pPr>
      <w:r>
        <w:rPr>
          <w:rFonts w:hint="eastAsia"/>
        </w:rPr>
        <w:t>反馈与改进</w:t>
      </w:r>
    </w:p>
    <w:p>
      <w:pPr>
        <w:pStyle w:val="65"/>
        <w:spacing w:before="120" w:after="120"/>
        <w:rPr>
          <w:rFonts w:ascii="宋体" w:hAnsi="宋体" w:eastAsia="宋体"/>
        </w:rPr>
      </w:pPr>
      <w:r>
        <w:rPr>
          <w:rFonts w:hint="eastAsia" w:ascii="宋体" w:hAnsi="宋体" w:eastAsia="宋体"/>
        </w:rPr>
        <w:t>培训方应根据服务类标准建立培训服务反馈机制，采取学徒反馈、用人单位反馈或第三方反馈</w:t>
      </w:r>
    </w:p>
    <w:p>
      <w:pPr>
        <w:pStyle w:val="65"/>
        <w:numPr>
          <w:ilvl w:val="0"/>
          <w:numId w:val="0"/>
        </w:numPr>
        <w:spacing w:before="120" w:after="120"/>
        <w:rPr>
          <w:rFonts w:ascii="宋体" w:hAnsi="宋体" w:eastAsia="宋体"/>
        </w:rPr>
      </w:pPr>
      <w:r>
        <w:rPr>
          <w:rFonts w:hint="eastAsia" w:ascii="宋体" w:hAnsi="宋体" w:eastAsia="宋体"/>
        </w:rPr>
        <w:t>相结合的方式，对学生培训服务进行评估与反馈。</w:t>
      </w:r>
    </w:p>
    <w:p>
      <w:pPr>
        <w:pStyle w:val="65"/>
        <w:spacing w:before="120" w:after="120"/>
        <w:rPr>
          <w:rFonts w:ascii="宋体" w:hAnsi="宋体" w:eastAsia="宋体"/>
        </w:rPr>
      </w:pPr>
      <w:r>
        <w:rPr>
          <w:rFonts w:hint="eastAsia" w:ascii="宋体" w:hAnsi="宋体" w:eastAsia="宋体"/>
        </w:rPr>
        <w:t>评估与反馈内容应包括但不限于：</w:t>
      </w:r>
    </w:p>
    <w:p>
      <w:pPr>
        <w:pStyle w:val="56"/>
        <w:ind w:firstLine="420"/>
      </w:pPr>
      <w:r>
        <w:rPr>
          <w:rFonts w:hint="eastAsia"/>
        </w:rPr>
        <w:t>——培训课程；</w:t>
      </w:r>
    </w:p>
    <w:p>
      <w:pPr>
        <w:pStyle w:val="56"/>
        <w:ind w:firstLine="420"/>
      </w:pPr>
      <w:r>
        <w:rPr>
          <w:rFonts w:hint="eastAsia"/>
        </w:rPr>
        <w:t>——培训师资；</w:t>
      </w:r>
    </w:p>
    <w:p>
      <w:pPr>
        <w:pStyle w:val="56"/>
        <w:ind w:firstLine="420"/>
      </w:pPr>
      <w:r>
        <w:rPr>
          <w:rFonts w:hint="eastAsia"/>
        </w:rPr>
        <w:t>——培训组织；</w:t>
      </w:r>
    </w:p>
    <w:p>
      <w:pPr>
        <w:pStyle w:val="56"/>
        <w:ind w:firstLine="420"/>
      </w:pPr>
      <w:r>
        <w:rPr>
          <w:rFonts w:hint="eastAsia"/>
        </w:rPr>
        <w:t>——培训效果；</w:t>
      </w:r>
    </w:p>
    <w:p>
      <w:pPr>
        <w:pStyle w:val="56"/>
        <w:ind w:firstLine="420"/>
      </w:pPr>
      <w:r>
        <w:rPr>
          <w:rFonts w:hint="eastAsia"/>
        </w:rPr>
        <w:t>——综合满意度；</w:t>
      </w:r>
    </w:p>
    <w:p>
      <w:pPr>
        <w:pStyle w:val="56"/>
        <w:ind w:firstLine="420"/>
      </w:pPr>
      <w:r>
        <w:rPr>
          <w:rFonts w:hint="eastAsia"/>
        </w:rPr>
        <w:t>——其他意见和建议等。</w:t>
      </w:r>
    </w:p>
    <w:p>
      <w:pPr>
        <w:pStyle w:val="65"/>
        <w:spacing w:before="120" w:after="120"/>
      </w:pPr>
      <w:r>
        <w:rPr>
          <w:rFonts w:hint="eastAsia"/>
        </w:rPr>
        <w:t>持续改进</w:t>
      </w:r>
    </w:p>
    <w:p>
      <w:pPr>
        <w:pStyle w:val="56"/>
        <w:ind w:firstLine="420"/>
      </w:pPr>
      <w:r>
        <w:rPr>
          <w:rFonts w:hint="eastAsia"/>
        </w:rPr>
        <w:t>根据各方评价结果分析制定持续改进的具体措施，不断改进与完善评价指标体系，应符合GB/T</w:t>
      </w:r>
    </w:p>
    <w:p>
      <w:pPr>
        <w:pStyle w:val="56"/>
        <w:ind w:firstLine="199" w:firstLineChars="95"/>
      </w:pPr>
      <w:r>
        <w:rPr>
          <w:rFonts w:hint="eastAsia"/>
        </w:rPr>
        <w:t>19273-2017 中9.2 规定。</w:t>
      </w:r>
    </w:p>
    <w:p>
      <w:pPr>
        <w:pStyle w:val="105"/>
        <w:spacing w:before="120" w:after="120"/>
      </w:pPr>
      <w:r>
        <w:rPr>
          <w:rFonts w:hint="eastAsia"/>
        </w:rPr>
        <w:t>质量管理</w:t>
      </w:r>
    </w:p>
    <w:p>
      <w:pPr>
        <w:pStyle w:val="65"/>
        <w:spacing w:before="120" w:after="120"/>
        <w:rPr>
          <w:rFonts w:ascii="宋体" w:hAnsi="宋体" w:eastAsia="宋体"/>
        </w:rPr>
      </w:pPr>
      <w:r>
        <w:rPr>
          <w:rFonts w:hint="eastAsia" w:ascii="宋体" w:hAnsi="宋体" w:eastAsia="宋体"/>
        </w:rPr>
        <w:t>建立相关管理机制，对开展校企联合培养学徒的项目，实施项目任务、责任制清单化管理并公示。</w:t>
      </w:r>
    </w:p>
    <w:p>
      <w:pPr>
        <w:pStyle w:val="65"/>
        <w:spacing w:before="120" w:after="120"/>
      </w:pPr>
      <w:r>
        <w:rPr>
          <w:rFonts w:hint="eastAsia" w:ascii="宋体" w:hAnsi="宋体" w:eastAsia="宋体"/>
        </w:rPr>
        <w:t>建立公开、透明的培训监督制度，对培训机构和培训过程、培训结果加强监管，严格监控，严格考核评价。</w:t>
      </w:r>
    </w:p>
    <w:p>
      <w:pPr>
        <w:pStyle w:val="65"/>
        <w:spacing w:before="120" w:after="120"/>
      </w:pPr>
      <w:r>
        <w:rPr>
          <w:rFonts w:hint="eastAsia" w:ascii="宋体" w:hAnsi="宋体" w:eastAsia="宋体"/>
        </w:rPr>
        <w:t>培训项目结束后，应通过检查培训档案、组织学徒培训体验感测评和用人单位满意度测评等形式，对培训情况进行检查验收，</w:t>
      </w:r>
      <w:r>
        <w:rPr>
          <w:rFonts w:hint="eastAsia" w:ascii="宋体" w:hAnsi="宋体" w:eastAsia="宋体"/>
          <w:color w:val="000000" w:themeColor="text1"/>
          <w14:textFill>
            <w14:solidFill>
              <w14:schemeClr w14:val="tx1"/>
            </w14:solidFill>
          </w14:textFill>
        </w:rPr>
        <w:t>完成三方问卷</w:t>
      </w:r>
      <w:r>
        <w:rPr>
          <w:rFonts w:hint="eastAsia" w:ascii="宋体" w:hAnsi="宋体" w:eastAsia="宋体"/>
        </w:rPr>
        <w:t>，确保每个培训环节按要求落实到位，保证校企联合培养学徒的培训质量。</w:t>
      </w:r>
    </w:p>
    <w:p>
      <w:pPr>
        <w:pStyle w:val="56"/>
        <w:ind w:firstLine="0" w:firstLineChars="0"/>
        <w:sectPr>
          <w:headerReference r:id="rId9" w:type="default"/>
          <w:footerReference r:id="rId11" w:type="default"/>
          <w:headerReference r:id="rId10" w:type="even"/>
          <w:pgSz w:w="11906" w:h="16838"/>
          <w:pgMar w:top="1928" w:right="1134" w:bottom="1134" w:left="1134" w:header="1418" w:footer="1134" w:gutter="284"/>
          <w:pgNumType w:start="1"/>
          <w:cols w:space="425" w:num="1"/>
          <w:formProt w:val="0"/>
          <w:docGrid w:linePitch="312" w:charSpace="0"/>
        </w:sectPr>
      </w:pPr>
    </w:p>
    <w:bookmarkEnd w:id="21"/>
    <w:p>
      <w:pPr>
        <w:pStyle w:val="198"/>
        <w:rPr>
          <w:vanish w:val="0"/>
        </w:rPr>
      </w:pPr>
      <w:bookmarkStart w:id="43" w:name="BookMark5"/>
    </w:p>
    <w:p>
      <w:pPr>
        <w:pStyle w:val="199"/>
        <w:rPr>
          <w:vanish w:val="0"/>
        </w:rPr>
      </w:pPr>
    </w:p>
    <w:p>
      <w:pPr>
        <w:pStyle w:val="76"/>
        <w:spacing w:after="120"/>
      </w:pPr>
      <w:r>
        <w:br w:type="textWrapping"/>
      </w:r>
      <w:r>
        <w:rPr>
          <w:rFonts w:hint="eastAsia"/>
        </w:rPr>
        <w:t>（资料性）</w:t>
      </w:r>
      <w:r>
        <w:br w:type="textWrapping"/>
      </w:r>
      <w:r>
        <w:rPr>
          <w:rFonts w:hint="eastAsia"/>
        </w:rPr>
        <w:t>毕业能力要求评价指标参考点</w:t>
      </w:r>
    </w:p>
    <w:tbl>
      <w:tblPr>
        <w:tblStyle w:val="27"/>
        <w:tblpPr w:leftFromText="180" w:rightFromText="180" w:vertAnchor="text" w:horzAnchor="margin" w:tblpY="399"/>
        <w:tblW w:w="135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709"/>
        <w:gridCol w:w="2296"/>
        <w:gridCol w:w="2104"/>
        <w:gridCol w:w="5663"/>
        <w:gridCol w:w="1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tcBorders>
              <w:top w:val="single" w:color="auto" w:sz="8" w:space="0"/>
              <w:bottom w:val="single" w:color="auto" w:sz="8" w:space="0"/>
            </w:tcBorders>
            <w:shd w:val="clear" w:color="auto" w:fill="auto"/>
            <w:vAlign w:val="center"/>
          </w:tcPr>
          <w:p>
            <w:pPr>
              <w:pStyle w:val="178"/>
            </w:pPr>
            <w:r>
              <w:rPr>
                <w:rFonts w:hint="eastAsia"/>
              </w:rPr>
              <w:t>一级指标</w:t>
            </w:r>
          </w:p>
        </w:tc>
        <w:tc>
          <w:tcPr>
            <w:tcW w:w="2296" w:type="dxa"/>
            <w:tcBorders>
              <w:top w:val="single" w:color="auto" w:sz="8" w:space="0"/>
              <w:bottom w:val="single" w:color="auto" w:sz="8" w:space="0"/>
            </w:tcBorders>
            <w:shd w:val="clear" w:color="auto" w:fill="auto"/>
            <w:vAlign w:val="center"/>
          </w:tcPr>
          <w:p>
            <w:pPr>
              <w:pStyle w:val="178"/>
            </w:pPr>
            <w:r>
              <w:rPr>
                <w:rFonts w:hint="eastAsia"/>
              </w:rPr>
              <w:t>二级指标</w:t>
            </w:r>
          </w:p>
        </w:tc>
        <w:tc>
          <w:tcPr>
            <w:tcW w:w="2104" w:type="dxa"/>
            <w:tcBorders>
              <w:top w:val="single" w:color="auto" w:sz="8" w:space="0"/>
              <w:bottom w:val="single" w:color="auto" w:sz="8" w:space="0"/>
            </w:tcBorders>
            <w:shd w:val="clear" w:color="auto" w:fill="auto"/>
            <w:vAlign w:val="center"/>
          </w:tcPr>
          <w:p>
            <w:pPr>
              <w:pStyle w:val="178"/>
            </w:pPr>
            <w:r>
              <w:rPr>
                <w:rFonts w:hint="eastAsia"/>
              </w:rPr>
              <w:t>三级指标</w:t>
            </w:r>
          </w:p>
        </w:tc>
        <w:tc>
          <w:tcPr>
            <w:tcW w:w="5663" w:type="dxa"/>
            <w:tcBorders>
              <w:top w:val="single" w:color="auto" w:sz="8" w:space="0"/>
              <w:bottom w:val="single" w:color="auto" w:sz="8" w:space="0"/>
            </w:tcBorders>
            <w:shd w:val="clear" w:color="auto" w:fill="auto"/>
            <w:vAlign w:val="center"/>
          </w:tcPr>
          <w:p>
            <w:pPr>
              <w:pStyle w:val="178"/>
            </w:pPr>
            <w:r>
              <w:rPr>
                <w:rFonts w:hint="eastAsia"/>
              </w:rPr>
              <w:t>细化内容</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restart"/>
            <w:tcBorders>
              <w:top w:val="single" w:color="auto" w:sz="8" w:space="0"/>
            </w:tcBorders>
            <w:shd w:val="clear" w:color="auto" w:fill="auto"/>
            <w:vAlign w:val="center"/>
          </w:tcPr>
          <w:p>
            <w:pPr>
              <w:pStyle w:val="178"/>
            </w:pPr>
            <w:r>
              <w:rPr>
                <w:rFonts w:hint="eastAsia"/>
              </w:rPr>
              <w:t>思想素养</w:t>
            </w:r>
          </w:p>
        </w:tc>
        <w:tc>
          <w:tcPr>
            <w:tcW w:w="2296" w:type="dxa"/>
            <w:vMerge w:val="restart"/>
            <w:tcBorders>
              <w:top w:val="single" w:color="auto" w:sz="8" w:space="0"/>
            </w:tcBorders>
            <w:shd w:val="clear" w:color="auto" w:fill="auto"/>
            <w:vAlign w:val="center"/>
          </w:tcPr>
          <w:p>
            <w:pPr>
              <w:pStyle w:val="178"/>
            </w:pPr>
            <w:r>
              <w:rPr>
                <w:rFonts w:hint="eastAsia"/>
              </w:rPr>
              <w:t>社会主义核心价值观</w:t>
            </w:r>
          </w:p>
        </w:tc>
        <w:tc>
          <w:tcPr>
            <w:tcW w:w="2104" w:type="dxa"/>
            <w:tcBorders>
              <w:top w:val="single" w:color="auto" w:sz="8" w:space="0"/>
              <w:bottom w:val="single" w:color="auto" w:sz="8" w:space="0"/>
            </w:tcBorders>
            <w:shd w:val="clear" w:color="auto" w:fill="auto"/>
            <w:vAlign w:val="center"/>
          </w:tcPr>
          <w:p>
            <w:pPr>
              <w:pStyle w:val="178"/>
            </w:pPr>
            <w:r>
              <w:rPr>
                <w:rFonts w:hint="eastAsia"/>
              </w:rPr>
              <w:t>坚持党的领导</w:t>
            </w:r>
          </w:p>
        </w:tc>
        <w:tc>
          <w:tcPr>
            <w:tcW w:w="5663" w:type="dxa"/>
            <w:tcBorders>
              <w:top w:val="single" w:color="auto" w:sz="8" w:space="0"/>
              <w:bottom w:val="single" w:color="auto" w:sz="8" w:space="0"/>
            </w:tcBorders>
            <w:shd w:val="clear" w:color="auto" w:fill="auto"/>
            <w:vAlign w:val="center"/>
          </w:tcPr>
          <w:p>
            <w:pPr>
              <w:pStyle w:val="178"/>
            </w:pPr>
            <w:r>
              <w:rPr>
                <w:rFonts w:hint="eastAsia"/>
              </w:rPr>
              <w:t>坚定拥护中国共产党领导和中国特色社会主义制度，以习近平新时代中国特色社会主义思想为指导</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tcBorders>
              <w:top w:val="single" w:color="auto" w:sz="8" w:space="0"/>
              <w:bottom w:val="single" w:color="auto" w:sz="8" w:space="0"/>
            </w:tcBorders>
            <w:shd w:val="clear" w:color="auto" w:fill="auto"/>
            <w:vAlign w:val="center"/>
          </w:tcPr>
          <w:p>
            <w:pPr>
              <w:pStyle w:val="178"/>
            </w:pPr>
            <w:r>
              <w:rPr>
                <w:rFonts w:hint="eastAsia"/>
              </w:rPr>
              <w:t>家国情怀</w:t>
            </w:r>
          </w:p>
        </w:tc>
        <w:tc>
          <w:tcPr>
            <w:tcW w:w="5663" w:type="dxa"/>
            <w:tcBorders>
              <w:top w:val="single" w:color="auto" w:sz="8" w:space="0"/>
              <w:bottom w:val="single" w:color="auto" w:sz="8" w:space="0"/>
            </w:tcBorders>
            <w:shd w:val="clear" w:color="auto" w:fill="auto"/>
            <w:vAlign w:val="center"/>
          </w:tcPr>
          <w:p>
            <w:pPr>
              <w:pStyle w:val="178"/>
            </w:pPr>
            <w:r>
              <w:rPr>
                <w:rFonts w:hint="eastAsia"/>
              </w:rPr>
              <w:t>具有坚定的理想信念、深厚的爱国情感和中华民族自豪感</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shd w:val="clear" w:color="auto" w:fill="auto"/>
            <w:vAlign w:val="center"/>
          </w:tcPr>
          <w:p>
            <w:pPr>
              <w:pStyle w:val="178"/>
            </w:pPr>
          </w:p>
        </w:tc>
        <w:tc>
          <w:tcPr>
            <w:tcW w:w="2296" w:type="dxa"/>
            <w:vMerge w:val="continue"/>
            <w:tcBorders>
              <w:bottom w:val="single" w:color="auto" w:sz="8" w:space="0"/>
            </w:tcBorders>
            <w:shd w:val="clear" w:color="auto" w:fill="auto"/>
            <w:vAlign w:val="center"/>
          </w:tcPr>
          <w:p>
            <w:pPr>
              <w:pStyle w:val="178"/>
            </w:pPr>
          </w:p>
        </w:tc>
        <w:tc>
          <w:tcPr>
            <w:tcW w:w="2104" w:type="dxa"/>
            <w:tcBorders>
              <w:top w:val="single" w:color="auto" w:sz="8" w:space="0"/>
              <w:bottom w:val="single" w:color="auto" w:sz="8" w:space="0"/>
            </w:tcBorders>
            <w:shd w:val="clear" w:color="auto" w:fill="auto"/>
            <w:vAlign w:val="center"/>
          </w:tcPr>
          <w:p>
            <w:pPr>
              <w:pStyle w:val="178"/>
            </w:pPr>
            <w:r>
              <w:rPr>
                <w:rFonts w:hint="eastAsia"/>
              </w:rPr>
              <w:t>爱岗敬业</w:t>
            </w:r>
          </w:p>
        </w:tc>
        <w:tc>
          <w:tcPr>
            <w:tcW w:w="5663" w:type="dxa"/>
            <w:tcBorders>
              <w:top w:val="single" w:color="auto" w:sz="8" w:space="0"/>
              <w:bottom w:val="single" w:color="auto" w:sz="8" w:space="0"/>
            </w:tcBorders>
            <w:shd w:val="clear" w:color="auto" w:fill="auto"/>
            <w:vAlign w:val="center"/>
          </w:tcPr>
          <w:p>
            <w:pPr>
              <w:pStyle w:val="178"/>
            </w:pPr>
            <w:r>
              <w:rPr>
                <w:rFonts w:hint="eastAsia"/>
              </w:rPr>
              <w:t>具有爱岗敬业的职业精神，遵守职业道德准则和行为规范，具备社会责任感和担当精神</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shd w:val="clear" w:color="auto" w:fill="auto"/>
            <w:vAlign w:val="center"/>
          </w:tcPr>
          <w:p>
            <w:pPr>
              <w:pStyle w:val="178"/>
            </w:pPr>
          </w:p>
        </w:tc>
        <w:tc>
          <w:tcPr>
            <w:tcW w:w="2296" w:type="dxa"/>
            <w:vMerge w:val="restart"/>
            <w:tcBorders>
              <w:top w:val="single" w:color="auto" w:sz="8" w:space="0"/>
            </w:tcBorders>
            <w:shd w:val="clear" w:color="auto" w:fill="auto"/>
            <w:vAlign w:val="center"/>
          </w:tcPr>
          <w:p>
            <w:pPr>
              <w:pStyle w:val="178"/>
            </w:pPr>
            <w:r>
              <w:rPr>
                <w:rFonts w:hint="eastAsia"/>
              </w:rPr>
              <w:t>践行法规</w:t>
            </w:r>
          </w:p>
        </w:tc>
        <w:tc>
          <w:tcPr>
            <w:tcW w:w="2104" w:type="dxa"/>
            <w:tcBorders>
              <w:top w:val="single" w:color="auto" w:sz="8" w:space="0"/>
              <w:bottom w:val="single" w:color="auto" w:sz="8" w:space="0"/>
            </w:tcBorders>
            <w:shd w:val="clear" w:color="auto" w:fill="auto"/>
            <w:vAlign w:val="center"/>
          </w:tcPr>
          <w:p>
            <w:pPr>
              <w:pStyle w:val="178"/>
            </w:pPr>
            <w:r>
              <w:rPr>
                <w:rFonts w:hint="eastAsia"/>
              </w:rPr>
              <w:t>遵纪守法</w:t>
            </w:r>
          </w:p>
        </w:tc>
        <w:tc>
          <w:tcPr>
            <w:tcW w:w="5663" w:type="dxa"/>
            <w:tcBorders>
              <w:top w:val="single" w:color="auto" w:sz="8" w:space="0"/>
              <w:bottom w:val="single" w:color="auto" w:sz="8" w:space="0"/>
            </w:tcBorders>
            <w:shd w:val="clear" w:color="auto" w:fill="auto"/>
            <w:vAlign w:val="center"/>
          </w:tcPr>
          <w:p>
            <w:pPr>
              <w:pStyle w:val="178"/>
            </w:pPr>
            <w:r>
              <w:rPr>
                <w:rFonts w:hint="eastAsia"/>
              </w:rPr>
              <w:t>掌握与本专业对应职业活动相关的国家法律、行业规定</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shd w:val="clear" w:color="auto" w:fill="auto"/>
            <w:vAlign w:val="center"/>
          </w:tcPr>
          <w:p>
            <w:pPr>
              <w:pStyle w:val="178"/>
            </w:pPr>
          </w:p>
        </w:tc>
        <w:tc>
          <w:tcPr>
            <w:tcW w:w="2296" w:type="dxa"/>
            <w:vMerge w:val="continue"/>
            <w:tcBorders>
              <w:bottom w:val="single" w:color="auto" w:sz="8" w:space="0"/>
            </w:tcBorders>
            <w:shd w:val="clear" w:color="auto" w:fill="auto"/>
            <w:vAlign w:val="center"/>
          </w:tcPr>
          <w:p>
            <w:pPr>
              <w:pStyle w:val="178"/>
            </w:pPr>
          </w:p>
        </w:tc>
        <w:tc>
          <w:tcPr>
            <w:tcW w:w="2104" w:type="dxa"/>
            <w:tcBorders>
              <w:top w:val="single" w:color="auto" w:sz="8" w:space="0"/>
              <w:bottom w:val="single" w:color="auto" w:sz="8" w:space="0"/>
            </w:tcBorders>
            <w:shd w:val="clear" w:color="auto" w:fill="auto"/>
            <w:vAlign w:val="center"/>
          </w:tcPr>
          <w:p>
            <w:pPr>
              <w:pStyle w:val="178"/>
            </w:pPr>
            <w:r>
              <w:rPr>
                <w:rFonts w:hint="eastAsia"/>
              </w:rPr>
              <w:t>低碳安全</w:t>
            </w:r>
          </w:p>
        </w:tc>
        <w:tc>
          <w:tcPr>
            <w:tcW w:w="5663" w:type="dxa"/>
            <w:tcBorders>
              <w:top w:val="single" w:color="auto" w:sz="8" w:space="0"/>
              <w:bottom w:val="single" w:color="auto" w:sz="8" w:space="0"/>
            </w:tcBorders>
            <w:shd w:val="clear" w:color="auto" w:fill="auto"/>
            <w:vAlign w:val="center"/>
          </w:tcPr>
          <w:p>
            <w:pPr>
              <w:pStyle w:val="178"/>
            </w:pPr>
            <w:r>
              <w:rPr>
                <w:rFonts w:hint="eastAsia"/>
              </w:rPr>
              <w:t>掌握绿色生产、环境保护、安全防护、质量管理等相关知识与技能</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shd w:val="clear" w:color="auto" w:fill="auto"/>
            <w:vAlign w:val="center"/>
          </w:tcPr>
          <w:p>
            <w:pPr>
              <w:pStyle w:val="178"/>
            </w:pPr>
          </w:p>
        </w:tc>
        <w:tc>
          <w:tcPr>
            <w:tcW w:w="2296" w:type="dxa"/>
            <w:vMerge w:val="restart"/>
            <w:tcBorders>
              <w:top w:val="single" w:color="auto" w:sz="8" w:space="0"/>
            </w:tcBorders>
            <w:shd w:val="clear" w:color="auto" w:fill="auto"/>
            <w:vAlign w:val="center"/>
          </w:tcPr>
          <w:p>
            <w:pPr>
              <w:pStyle w:val="178"/>
            </w:pPr>
            <w:r>
              <w:rPr>
                <w:rFonts w:hint="eastAsia"/>
              </w:rPr>
              <w:t>育人为本</w:t>
            </w:r>
          </w:p>
        </w:tc>
        <w:tc>
          <w:tcPr>
            <w:tcW w:w="2104" w:type="dxa"/>
            <w:tcBorders>
              <w:top w:val="single" w:color="auto" w:sz="8" w:space="0"/>
              <w:bottom w:val="single" w:color="auto" w:sz="8" w:space="0"/>
            </w:tcBorders>
            <w:shd w:val="clear" w:color="auto" w:fill="auto"/>
            <w:vAlign w:val="center"/>
          </w:tcPr>
          <w:p>
            <w:pPr>
              <w:pStyle w:val="178"/>
            </w:pPr>
            <w:r>
              <w:rPr>
                <w:rFonts w:hint="eastAsia"/>
              </w:rPr>
              <w:t>热爱体育</w:t>
            </w:r>
          </w:p>
        </w:tc>
        <w:tc>
          <w:tcPr>
            <w:tcW w:w="5663" w:type="dxa"/>
            <w:tcBorders>
              <w:top w:val="single" w:color="auto" w:sz="8" w:space="0"/>
              <w:bottom w:val="single" w:color="auto" w:sz="8" w:space="0"/>
            </w:tcBorders>
            <w:shd w:val="clear" w:color="auto" w:fill="auto"/>
            <w:vAlign w:val="center"/>
          </w:tcPr>
          <w:p>
            <w:pPr>
              <w:pStyle w:val="178"/>
            </w:pPr>
            <w:r>
              <w:rPr>
                <w:rFonts w:hint="eastAsia"/>
              </w:rPr>
              <w:t>掌握身体运动的基本知识，达到国家大学生体质健康测试合格标准，养成良好的运动习惯、卫生习惯和行为习惯</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tcBorders>
              <w:top w:val="single" w:color="auto" w:sz="8" w:space="0"/>
              <w:bottom w:val="single" w:color="auto" w:sz="8" w:space="0"/>
            </w:tcBorders>
            <w:shd w:val="clear" w:color="auto" w:fill="auto"/>
            <w:vAlign w:val="center"/>
          </w:tcPr>
          <w:p>
            <w:pPr>
              <w:pStyle w:val="178"/>
            </w:pPr>
            <w:r>
              <w:rPr>
                <w:rFonts w:hint="eastAsia"/>
              </w:rPr>
              <w:t>追求审美</w:t>
            </w:r>
          </w:p>
        </w:tc>
        <w:tc>
          <w:tcPr>
            <w:tcW w:w="5663" w:type="dxa"/>
            <w:tcBorders>
              <w:top w:val="single" w:color="auto" w:sz="8" w:space="0"/>
              <w:bottom w:val="single" w:color="auto" w:sz="8" w:space="0"/>
            </w:tcBorders>
            <w:shd w:val="clear" w:color="auto" w:fill="auto"/>
            <w:vAlign w:val="center"/>
          </w:tcPr>
          <w:p>
            <w:pPr>
              <w:pStyle w:val="178"/>
            </w:pPr>
            <w:r>
              <w:rPr>
                <w:rFonts w:hint="eastAsia"/>
              </w:rPr>
              <w:t>掌握必备的美育知识，具有一定的文化修养、审美能力</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blHeader/>
        </w:trPr>
        <w:tc>
          <w:tcPr>
            <w:tcW w:w="1709" w:type="dxa"/>
            <w:vMerge w:val="continue"/>
            <w:tcBorders>
              <w:bottom w:val="single" w:color="auto" w:sz="8" w:space="0"/>
            </w:tcBorders>
            <w:shd w:val="clear" w:color="auto" w:fill="auto"/>
            <w:vAlign w:val="center"/>
          </w:tcPr>
          <w:p>
            <w:pPr>
              <w:pStyle w:val="178"/>
            </w:pPr>
          </w:p>
        </w:tc>
        <w:tc>
          <w:tcPr>
            <w:tcW w:w="2296" w:type="dxa"/>
            <w:vMerge w:val="continue"/>
            <w:tcBorders>
              <w:bottom w:val="single" w:color="auto" w:sz="8" w:space="0"/>
            </w:tcBorders>
            <w:shd w:val="clear" w:color="auto" w:fill="auto"/>
            <w:vAlign w:val="center"/>
          </w:tcPr>
          <w:p>
            <w:pPr>
              <w:pStyle w:val="178"/>
            </w:pPr>
          </w:p>
        </w:tc>
        <w:tc>
          <w:tcPr>
            <w:tcW w:w="2104" w:type="dxa"/>
            <w:tcBorders>
              <w:top w:val="single" w:color="auto" w:sz="8" w:space="0"/>
              <w:bottom w:val="single" w:color="auto" w:sz="8" w:space="0"/>
            </w:tcBorders>
            <w:shd w:val="clear" w:color="auto" w:fill="auto"/>
            <w:vAlign w:val="center"/>
          </w:tcPr>
          <w:p>
            <w:pPr>
              <w:pStyle w:val="178"/>
            </w:pPr>
            <w:r>
              <w:rPr>
                <w:rFonts w:hint="eastAsia"/>
              </w:rPr>
              <w:t>善于劳动</w:t>
            </w:r>
          </w:p>
        </w:tc>
        <w:tc>
          <w:tcPr>
            <w:tcW w:w="5663" w:type="dxa"/>
            <w:tcBorders>
              <w:top w:val="single" w:color="auto" w:sz="8" w:space="0"/>
              <w:bottom w:val="single" w:color="auto" w:sz="8" w:space="0"/>
            </w:tcBorders>
            <w:shd w:val="clear" w:color="auto" w:fill="auto"/>
            <w:vAlign w:val="center"/>
          </w:tcPr>
          <w:p>
            <w:pPr>
              <w:pStyle w:val="178"/>
            </w:pPr>
            <w:r>
              <w:rPr>
                <w:rFonts w:hint="eastAsia"/>
              </w:rPr>
              <w:t>树立正确的劳动观，尊重劳动，热爱劳动，具备与本专业职业发展相适应的劳动素养，弘扬劳模精神、劳动精神、工匠精神，弘扬劳动光荣、技能宝贵、创造伟大的时代风尚</w:t>
            </w:r>
          </w:p>
        </w:tc>
        <w:tc>
          <w:tcPr>
            <w:tcW w:w="1800" w:type="dxa"/>
            <w:tcBorders>
              <w:top w:val="single" w:color="auto" w:sz="8"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restart"/>
            <w:tcBorders>
              <w:top w:val="single" w:color="auto" w:sz="8" w:space="0"/>
            </w:tcBorders>
            <w:shd w:val="clear" w:color="auto" w:fill="auto"/>
            <w:vAlign w:val="center"/>
          </w:tcPr>
          <w:p>
            <w:pPr>
              <w:pStyle w:val="178"/>
            </w:pPr>
            <w:r>
              <w:rPr>
                <w:rFonts w:hint="eastAsia"/>
              </w:rPr>
              <w:t>理论知识</w:t>
            </w:r>
          </w:p>
        </w:tc>
        <w:tc>
          <w:tcPr>
            <w:tcW w:w="2296" w:type="dxa"/>
            <w:vMerge w:val="restart"/>
            <w:tcBorders>
              <w:top w:val="single" w:color="auto" w:sz="8" w:space="0"/>
            </w:tcBorders>
            <w:shd w:val="clear" w:color="auto" w:fill="auto"/>
            <w:vAlign w:val="center"/>
          </w:tcPr>
          <w:p>
            <w:pPr>
              <w:pStyle w:val="178"/>
            </w:pPr>
            <w:r>
              <w:rPr>
                <w:rFonts w:hint="eastAsia"/>
              </w:rPr>
              <w:t>专业基本知识</w:t>
            </w:r>
          </w:p>
        </w:tc>
        <w:tc>
          <w:tcPr>
            <w:tcW w:w="2104" w:type="dxa"/>
            <w:tcBorders>
              <w:top w:val="single" w:color="auto" w:sz="8" w:space="0"/>
            </w:tcBorders>
            <w:shd w:val="clear" w:color="auto" w:fill="auto"/>
            <w:vAlign w:val="center"/>
          </w:tcPr>
          <w:p>
            <w:pPr>
              <w:pStyle w:val="178"/>
            </w:pPr>
            <w:r>
              <w:rPr>
                <w:rFonts w:hint="eastAsia"/>
              </w:rPr>
              <w:t>基础技能知识</w:t>
            </w:r>
          </w:p>
        </w:tc>
        <w:tc>
          <w:tcPr>
            <w:tcW w:w="5663" w:type="dxa"/>
            <w:tcBorders>
              <w:top w:val="single" w:color="auto" w:sz="8" w:space="0"/>
            </w:tcBorders>
            <w:shd w:val="clear" w:color="auto" w:fill="auto"/>
            <w:vAlign w:val="center"/>
          </w:tcPr>
          <w:p>
            <w:pPr>
              <w:pStyle w:val="178"/>
            </w:pPr>
            <w:r>
              <w:rPr>
                <w:rFonts w:hint="eastAsia"/>
              </w:rPr>
              <w:t>掌握电气识图、绘图知识，掌握正确使用电工器具的方法，能够正确识读电气一、二次回路图</w:t>
            </w:r>
          </w:p>
        </w:tc>
        <w:tc>
          <w:tcPr>
            <w:tcW w:w="1800"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专业基本知识</w:t>
            </w:r>
          </w:p>
        </w:tc>
        <w:tc>
          <w:tcPr>
            <w:tcW w:w="5663" w:type="dxa"/>
            <w:shd w:val="clear" w:color="auto" w:fill="auto"/>
            <w:vAlign w:val="center"/>
          </w:tcPr>
          <w:p>
            <w:pPr>
              <w:pStyle w:val="178"/>
            </w:pPr>
            <w:r>
              <w:rPr>
                <w:rFonts w:hint="eastAsia"/>
              </w:rPr>
              <w:t>掌握本专业必需的电工、电子技术和电机的基础理论知识</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专业核心知识</w:t>
            </w:r>
          </w:p>
        </w:tc>
        <w:tc>
          <w:tcPr>
            <w:tcW w:w="2104" w:type="dxa"/>
            <w:shd w:val="clear" w:color="auto" w:fill="auto"/>
            <w:vAlign w:val="center"/>
          </w:tcPr>
          <w:p>
            <w:pPr>
              <w:pStyle w:val="178"/>
            </w:pPr>
            <w:r>
              <w:rPr>
                <w:rFonts w:hint="eastAsia"/>
              </w:rPr>
              <w:t>电气设备运维</w:t>
            </w:r>
          </w:p>
        </w:tc>
        <w:tc>
          <w:tcPr>
            <w:tcW w:w="5663" w:type="dxa"/>
            <w:shd w:val="clear" w:color="auto" w:fill="auto"/>
            <w:vAlign w:val="center"/>
          </w:tcPr>
          <w:p>
            <w:pPr>
              <w:pStyle w:val="178"/>
            </w:pPr>
            <w:r>
              <w:rPr>
                <w:rFonts w:hint="eastAsia"/>
              </w:rPr>
              <w:t>掌握电力系统电气设备的基本结构、工作原理以及运行维护的基本方法</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电力系统自动化</w:t>
            </w:r>
          </w:p>
        </w:tc>
        <w:tc>
          <w:tcPr>
            <w:tcW w:w="5663" w:type="dxa"/>
            <w:shd w:val="clear" w:color="auto" w:fill="auto"/>
            <w:vAlign w:val="center"/>
          </w:tcPr>
          <w:p>
            <w:pPr>
              <w:pStyle w:val="178"/>
            </w:pPr>
            <w:r>
              <w:rPr>
                <w:rFonts w:hint="eastAsia"/>
              </w:rPr>
              <w:t>掌握电力系统运行的基本知识和故障分析的基本理论知识、掌握电力系统继电保护、自动化技术的基本理论及智能电网运行方面的知识</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通信与组态应用</w:t>
            </w:r>
          </w:p>
        </w:tc>
        <w:tc>
          <w:tcPr>
            <w:tcW w:w="5663" w:type="dxa"/>
            <w:shd w:val="clear" w:color="auto" w:fill="auto"/>
            <w:vAlign w:val="center"/>
          </w:tcPr>
          <w:p>
            <w:pPr>
              <w:pStyle w:val="178"/>
            </w:pPr>
            <w:r>
              <w:rPr>
                <w:rFonts w:hint="eastAsia"/>
              </w:rPr>
              <w:t>掌握电力系统通信技术、组态设计方面的知识</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拓展知识</w:t>
            </w:r>
          </w:p>
        </w:tc>
        <w:tc>
          <w:tcPr>
            <w:tcW w:w="2104" w:type="dxa"/>
            <w:shd w:val="clear" w:color="auto" w:fill="auto"/>
            <w:vAlign w:val="center"/>
          </w:tcPr>
          <w:p>
            <w:pPr>
              <w:pStyle w:val="178"/>
            </w:pPr>
            <w:r>
              <w:rPr>
                <w:rFonts w:hint="eastAsia"/>
              </w:rPr>
              <w:t>电力新技术</w:t>
            </w:r>
          </w:p>
        </w:tc>
        <w:tc>
          <w:tcPr>
            <w:tcW w:w="5663" w:type="dxa"/>
            <w:shd w:val="clear" w:color="auto" w:fill="auto"/>
            <w:vAlign w:val="center"/>
          </w:tcPr>
          <w:p>
            <w:pPr>
              <w:pStyle w:val="178"/>
            </w:pPr>
            <w:r>
              <w:rPr>
                <w:rFonts w:hint="eastAsia"/>
              </w:rPr>
              <w:t>掌握新技术应用、智能化发展</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专业综合素养</w:t>
            </w:r>
          </w:p>
        </w:tc>
        <w:tc>
          <w:tcPr>
            <w:tcW w:w="5663" w:type="dxa"/>
            <w:shd w:val="clear" w:color="auto" w:fill="auto"/>
            <w:vAlign w:val="center"/>
          </w:tcPr>
          <w:p>
            <w:pPr>
              <w:pStyle w:val="178"/>
            </w:pPr>
            <w:r>
              <w:rPr>
                <w:rFonts w:hint="eastAsia"/>
              </w:rPr>
              <w:t>掌握班组管理能力和专业英语应用</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restart"/>
            <w:shd w:val="clear" w:color="auto" w:fill="auto"/>
            <w:vAlign w:val="center"/>
          </w:tcPr>
          <w:p>
            <w:pPr>
              <w:pStyle w:val="178"/>
              <w:jc w:val="both"/>
            </w:pPr>
          </w:p>
          <w:p>
            <w:pPr>
              <w:pStyle w:val="178"/>
              <w:jc w:val="both"/>
            </w:pPr>
          </w:p>
          <w:p>
            <w:pPr>
              <w:pStyle w:val="178"/>
              <w:jc w:val="both"/>
            </w:pPr>
          </w:p>
          <w:p>
            <w:pPr>
              <w:pStyle w:val="178"/>
              <w:jc w:val="both"/>
            </w:pPr>
          </w:p>
          <w:p>
            <w:pPr>
              <w:pStyle w:val="178"/>
              <w:jc w:val="both"/>
            </w:pPr>
          </w:p>
          <w:p>
            <w:pPr>
              <w:pStyle w:val="178"/>
              <w:jc w:val="both"/>
            </w:pPr>
          </w:p>
          <w:p>
            <w:pPr>
              <w:pStyle w:val="178"/>
              <w:jc w:val="both"/>
            </w:pPr>
          </w:p>
          <w:p>
            <w:pPr>
              <w:pStyle w:val="178"/>
              <w:jc w:val="both"/>
            </w:pPr>
          </w:p>
          <w:p>
            <w:pPr>
              <w:pStyle w:val="178"/>
              <w:jc w:val="both"/>
            </w:pPr>
          </w:p>
          <w:p>
            <w:pPr>
              <w:pStyle w:val="178"/>
              <w:jc w:val="both"/>
            </w:pPr>
          </w:p>
          <w:p>
            <w:pPr>
              <w:pStyle w:val="178"/>
              <w:jc w:val="both"/>
            </w:pPr>
          </w:p>
          <w:p>
            <w:pPr>
              <w:pStyle w:val="178"/>
              <w:ind w:firstLine="360" w:firstLineChars="200"/>
              <w:jc w:val="both"/>
            </w:pPr>
            <w:r>
              <w:rPr>
                <w:rFonts w:hint="eastAsia"/>
              </w:rPr>
              <w:t>职业技能</w:t>
            </w:r>
          </w:p>
          <w:p>
            <w:pPr>
              <w:pStyle w:val="178"/>
            </w:pPr>
          </w:p>
        </w:tc>
        <w:tc>
          <w:tcPr>
            <w:tcW w:w="2296" w:type="dxa"/>
            <w:vMerge w:val="restart"/>
            <w:shd w:val="clear" w:color="auto" w:fill="auto"/>
            <w:vAlign w:val="center"/>
          </w:tcPr>
          <w:p>
            <w:pPr>
              <w:pStyle w:val="178"/>
            </w:pPr>
            <w:r>
              <w:rPr>
                <w:rFonts w:hint="eastAsia"/>
              </w:rPr>
              <w:t>电力系统运行与维护</w:t>
            </w:r>
          </w:p>
        </w:tc>
        <w:tc>
          <w:tcPr>
            <w:tcW w:w="2104" w:type="dxa"/>
            <w:shd w:val="clear" w:color="auto" w:fill="auto"/>
            <w:vAlign w:val="center"/>
          </w:tcPr>
          <w:p>
            <w:pPr>
              <w:pStyle w:val="178"/>
            </w:pPr>
            <w:r>
              <w:rPr>
                <w:rFonts w:hint="eastAsia"/>
              </w:rPr>
              <w:t>电力系统分析</w:t>
            </w:r>
          </w:p>
        </w:tc>
        <w:tc>
          <w:tcPr>
            <w:tcW w:w="5663" w:type="dxa"/>
            <w:shd w:val="clear" w:color="auto" w:fill="auto"/>
            <w:vAlign w:val="center"/>
          </w:tcPr>
          <w:p>
            <w:pPr>
              <w:pStyle w:val="178"/>
            </w:pPr>
            <w:r>
              <w:rPr>
                <w:rFonts w:hint="eastAsia"/>
              </w:rPr>
              <w:t>能够对电力系统的运行状态进行分析和计算，包括潮流计算、短路电流计算等</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电力系统监控</w:t>
            </w:r>
          </w:p>
        </w:tc>
        <w:tc>
          <w:tcPr>
            <w:tcW w:w="5663" w:type="dxa"/>
            <w:shd w:val="clear" w:color="auto" w:fill="auto"/>
            <w:vAlign w:val="center"/>
          </w:tcPr>
          <w:p>
            <w:pPr>
              <w:pStyle w:val="178"/>
            </w:pPr>
            <w:r>
              <w:rPr>
                <w:rFonts w:hint="eastAsia"/>
              </w:rPr>
              <w:t>掌握电力系统监控设备的原理和使用方法，能够对电力系统的运行参数进行实时监测和控制</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电力系统故障处理</w:t>
            </w:r>
          </w:p>
        </w:tc>
        <w:tc>
          <w:tcPr>
            <w:tcW w:w="5663" w:type="dxa"/>
            <w:shd w:val="clear" w:color="auto" w:fill="auto"/>
            <w:vAlign w:val="center"/>
          </w:tcPr>
          <w:p>
            <w:pPr>
              <w:pStyle w:val="178"/>
            </w:pPr>
            <w:r>
              <w:rPr>
                <w:rFonts w:hint="eastAsia"/>
              </w:rPr>
              <w:t>具备快速准确地判断电力系统故障并进行处理的能力，能够制定故障应急预案</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电气设备检修与试验</w:t>
            </w:r>
          </w:p>
        </w:tc>
        <w:tc>
          <w:tcPr>
            <w:tcW w:w="2104" w:type="dxa"/>
            <w:shd w:val="clear" w:color="auto" w:fill="auto"/>
            <w:vAlign w:val="center"/>
          </w:tcPr>
          <w:p>
            <w:pPr>
              <w:pStyle w:val="178"/>
            </w:pPr>
            <w:r>
              <w:rPr>
                <w:rFonts w:hint="eastAsia"/>
              </w:rPr>
              <w:t>电气设备检修</w:t>
            </w:r>
          </w:p>
        </w:tc>
        <w:tc>
          <w:tcPr>
            <w:tcW w:w="5663" w:type="dxa"/>
            <w:shd w:val="clear" w:color="auto" w:fill="auto"/>
            <w:vAlign w:val="center"/>
          </w:tcPr>
          <w:p>
            <w:pPr>
              <w:pStyle w:val="178"/>
            </w:pPr>
            <w:r>
              <w:rPr>
                <w:rFonts w:hint="eastAsia"/>
              </w:rPr>
              <w:t>熟悉各类电气设备的结构和工作原理，能够进行电气设备的日常检修和维护</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电气设备试验</w:t>
            </w:r>
          </w:p>
        </w:tc>
        <w:tc>
          <w:tcPr>
            <w:tcW w:w="5663" w:type="dxa"/>
            <w:shd w:val="clear" w:color="auto" w:fill="auto"/>
            <w:vAlign w:val="center"/>
          </w:tcPr>
          <w:p>
            <w:pPr>
              <w:pStyle w:val="178"/>
            </w:pPr>
            <w:r>
              <w:rPr>
                <w:rFonts w:hint="eastAsia"/>
              </w:rPr>
              <w:t>掌握电气设备的试验方法和技术，能够对电气设备进行绝缘试验、特性试验等</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2"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自动化控制系统编程与调试</w:t>
            </w:r>
          </w:p>
        </w:tc>
        <w:tc>
          <w:tcPr>
            <w:tcW w:w="2104" w:type="dxa"/>
            <w:shd w:val="clear" w:color="auto" w:fill="auto"/>
            <w:vAlign w:val="center"/>
          </w:tcPr>
          <w:p>
            <w:pPr>
              <w:pStyle w:val="178"/>
            </w:pPr>
            <w:r>
              <w:rPr>
                <w:rFonts w:hint="eastAsia"/>
              </w:rPr>
              <w:t>自动化控制系统编程</w:t>
            </w:r>
          </w:p>
        </w:tc>
        <w:tc>
          <w:tcPr>
            <w:tcW w:w="5663" w:type="dxa"/>
            <w:shd w:val="clear" w:color="auto" w:fill="auto"/>
            <w:vAlign w:val="center"/>
          </w:tcPr>
          <w:p>
            <w:pPr>
              <w:pStyle w:val="178"/>
            </w:pPr>
            <w:r>
              <w:rPr>
                <w:rFonts w:hint="eastAsia"/>
              </w:rPr>
              <w:t>掌握自动化控制系统的编程语言和编程方法，能够编写控制程序，包括PLC控制系统、DCS控制系统等</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自动化控制系统调试</w:t>
            </w:r>
          </w:p>
        </w:tc>
        <w:tc>
          <w:tcPr>
            <w:tcW w:w="5663" w:type="dxa"/>
            <w:shd w:val="clear" w:color="auto" w:fill="auto"/>
            <w:vAlign w:val="center"/>
          </w:tcPr>
          <w:p>
            <w:pPr>
              <w:pStyle w:val="178"/>
            </w:pPr>
            <w:r>
              <w:rPr>
                <w:rFonts w:hint="eastAsia"/>
              </w:rPr>
              <w:t>能够对自动化控制系统进行调试和优化，确保系统的稳定运行</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数字化技术应用与数据</w:t>
            </w:r>
            <w:r>
              <w:br w:type="textWrapping"/>
            </w:r>
            <w:r>
              <w:rPr>
                <w:rFonts w:hint="eastAsia"/>
              </w:rPr>
              <w:t>处理</w:t>
            </w:r>
          </w:p>
        </w:tc>
        <w:tc>
          <w:tcPr>
            <w:tcW w:w="2104" w:type="dxa"/>
            <w:shd w:val="clear" w:color="auto" w:fill="auto"/>
            <w:vAlign w:val="center"/>
          </w:tcPr>
          <w:p>
            <w:pPr>
              <w:pStyle w:val="178"/>
            </w:pPr>
            <w:r>
              <w:rPr>
                <w:rFonts w:hint="eastAsia"/>
              </w:rPr>
              <w:t>技术工具应用</w:t>
            </w:r>
          </w:p>
        </w:tc>
        <w:tc>
          <w:tcPr>
            <w:tcW w:w="5663" w:type="dxa"/>
            <w:shd w:val="clear" w:color="auto" w:fill="auto"/>
            <w:vAlign w:val="center"/>
          </w:tcPr>
          <w:p>
            <w:pPr>
              <w:pStyle w:val="178"/>
            </w:pPr>
            <w:r>
              <w:rPr>
                <w:rFonts w:hint="eastAsia"/>
              </w:rPr>
              <w:t>掌握信息技术基础知识，具有适应电力行业数字化和智能化发展需求的数字技能。</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数据处理</w:t>
            </w:r>
          </w:p>
        </w:tc>
        <w:tc>
          <w:tcPr>
            <w:tcW w:w="5663" w:type="dxa"/>
            <w:shd w:val="clear" w:color="auto" w:fill="auto"/>
            <w:vAlign w:val="center"/>
          </w:tcPr>
          <w:p>
            <w:pPr>
              <w:pStyle w:val="178"/>
            </w:pPr>
            <w:r>
              <w:rPr>
                <w:rFonts w:hint="eastAsia"/>
              </w:rPr>
              <w:t>运用统计学方法和数据分析算法，实现数据可视化呈现，为决策提供直观的数据支持</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系统操作</w:t>
            </w:r>
          </w:p>
        </w:tc>
        <w:tc>
          <w:tcPr>
            <w:tcW w:w="5663" w:type="dxa"/>
            <w:shd w:val="clear" w:color="auto" w:fill="auto"/>
            <w:vAlign w:val="center"/>
          </w:tcPr>
          <w:p>
            <w:pPr>
              <w:pStyle w:val="178"/>
            </w:pPr>
            <w:r>
              <w:rPr>
                <w:rFonts w:hint="eastAsia"/>
              </w:rPr>
              <w:t>熟悉电力系统数字化平台的基础架构，能够进行系统基础配置、权限管理和日常维护，保障化数字化系统的稳定运行</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智能监测与数据分析</w:t>
            </w:r>
          </w:p>
        </w:tc>
        <w:tc>
          <w:tcPr>
            <w:tcW w:w="2104" w:type="dxa"/>
            <w:shd w:val="clear" w:color="auto" w:fill="auto"/>
            <w:vAlign w:val="center"/>
          </w:tcPr>
          <w:p>
            <w:pPr>
              <w:pStyle w:val="178"/>
            </w:pPr>
            <w:r>
              <w:rPr>
                <w:rFonts w:hint="eastAsia"/>
              </w:rPr>
              <w:t>数据采集系统应用</w:t>
            </w:r>
          </w:p>
        </w:tc>
        <w:tc>
          <w:tcPr>
            <w:tcW w:w="5663" w:type="dxa"/>
            <w:shd w:val="clear" w:color="auto" w:fill="auto"/>
            <w:vAlign w:val="center"/>
          </w:tcPr>
          <w:p>
            <w:pPr>
              <w:pStyle w:val="178"/>
            </w:pPr>
            <w:r>
              <w:rPr>
                <w:rFonts w:hint="eastAsia"/>
              </w:rPr>
              <w:t>精通数据采集系统运行数据采集流程，熟练使用相关软件工具对数据进行实时监护与历史追溯，通过趋势分析预测系统运行状态，提前发现潜在风险</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设备状态评估</w:t>
            </w:r>
          </w:p>
        </w:tc>
        <w:tc>
          <w:tcPr>
            <w:tcW w:w="5663" w:type="dxa"/>
            <w:shd w:val="clear" w:color="auto" w:fill="auto"/>
            <w:vAlign w:val="center"/>
          </w:tcPr>
          <w:p>
            <w:pPr>
              <w:pStyle w:val="178"/>
            </w:pPr>
            <w:r>
              <w:rPr>
                <w:rFonts w:hint="eastAsia"/>
              </w:rPr>
              <w:t>结合设备运行参数标准和历史数据，运用故障诊断模型识别异常信号，及时预警并定位故障隐患</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数字孪生与仿真实践</w:t>
            </w:r>
          </w:p>
        </w:tc>
        <w:tc>
          <w:tcPr>
            <w:tcW w:w="2104" w:type="dxa"/>
            <w:shd w:val="clear" w:color="auto" w:fill="auto"/>
            <w:vAlign w:val="center"/>
          </w:tcPr>
          <w:p>
            <w:pPr>
              <w:pStyle w:val="178"/>
            </w:pPr>
            <w:r>
              <w:rPr>
                <w:rFonts w:hint="eastAsia"/>
              </w:rPr>
              <w:t>数据驱动决策</w:t>
            </w:r>
          </w:p>
        </w:tc>
        <w:tc>
          <w:tcPr>
            <w:tcW w:w="5663" w:type="dxa"/>
            <w:shd w:val="clear" w:color="auto" w:fill="auto"/>
            <w:vAlign w:val="center"/>
          </w:tcPr>
          <w:p>
            <w:pPr>
              <w:pStyle w:val="178"/>
            </w:pPr>
            <w:r>
              <w:rPr>
                <w:rFonts w:hint="eastAsia"/>
              </w:rPr>
              <w:t>基于数据分析结果，建立设备健康状态评估体系，为设备维护策略制定、系统优化升级提供数据依据，提升电力系统运行效率</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数字孪生系统操作</w:t>
            </w:r>
          </w:p>
        </w:tc>
        <w:tc>
          <w:tcPr>
            <w:tcW w:w="5663" w:type="dxa"/>
            <w:shd w:val="clear" w:color="auto" w:fill="auto"/>
            <w:vAlign w:val="center"/>
          </w:tcPr>
          <w:p>
            <w:pPr>
              <w:pStyle w:val="178"/>
            </w:pPr>
            <w:r>
              <w:rPr>
                <w:rFonts w:hint="eastAsia"/>
              </w:rPr>
              <w:t>熟练操作数字孪生系统，完成电力设备和系统的虚拟模型搭建，实现虚拟环境与物理系统的实时数据交互和同步</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应急演练</w:t>
            </w:r>
          </w:p>
        </w:tc>
        <w:tc>
          <w:tcPr>
            <w:tcW w:w="5663" w:type="dxa"/>
            <w:shd w:val="clear" w:color="auto" w:fill="auto"/>
            <w:vAlign w:val="center"/>
          </w:tcPr>
          <w:p>
            <w:pPr>
              <w:pStyle w:val="178"/>
            </w:pPr>
            <w:r>
              <w:rPr>
                <w:rFonts w:hint="eastAsia"/>
              </w:rPr>
              <w:t>利用数字孪生系统开展应急演练，制定应急预案，评估不同处置措施的效果，为电力系统安全稳定运行提供保障</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restart"/>
            <w:shd w:val="clear" w:color="auto" w:fill="auto"/>
            <w:vAlign w:val="center"/>
          </w:tcPr>
          <w:p>
            <w:pPr>
              <w:pStyle w:val="178"/>
            </w:pPr>
            <w:r>
              <w:rPr>
                <w:rFonts w:hint="eastAsia"/>
              </w:rPr>
              <w:t>综合发展</w:t>
            </w:r>
          </w:p>
        </w:tc>
        <w:tc>
          <w:tcPr>
            <w:tcW w:w="2296" w:type="dxa"/>
            <w:vMerge w:val="restart"/>
            <w:shd w:val="clear" w:color="auto" w:fill="auto"/>
            <w:vAlign w:val="center"/>
          </w:tcPr>
          <w:p>
            <w:pPr>
              <w:pStyle w:val="178"/>
            </w:pPr>
            <w:r>
              <w:rPr>
                <w:rFonts w:hint="eastAsia"/>
              </w:rPr>
              <w:t>终身学习</w:t>
            </w:r>
          </w:p>
        </w:tc>
        <w:tc>
          <w:tcPr>
            <w:tcW w:w="2104" w:type="dxa"/>
            <w:shd w:val="clear" w:color="auto" w:fill="auto"/>
            <w:vAlign w:val="center"/>
          </w:tcPr>
          <w:p>
            <w:pPr>
              <w:pStyle w:val="178"/>
            </w:pPr>
            <w:r>
              <w:rPr>
                <w:rFonts w:hint="eastAsia"/>
              </w:rPr>
              <w:t>文化素养</w:t>
            </w:r>
          </w:p>
        </w:tc>
        <w:tc>
          <w:tcPr>
            <w:tcW w:w="5663" w:type="dxa"/>
            <w:shd w:val="clear" w:color="auto" w:fill="auto"/>
            <w:vAlign w:val="center"/>
          </w:tcPr>
          <w:p>
            <w:pPr>
              <w:pStyle w:val="178"/>
            </w:pPr>
            <w:r>
              <w:rPr>
                <w:rFonts w:hint="eastAsia"/>
              </w:rPr>
              <w:t>掌握支撑本专业学习和可持续发展必备的语文、数学、外语等基础</w:t>
            </w:r>
          </w:p>
          <w:p>
            <w:pPr>
              <w:pStyle w:val="178"/>
            </w:pPr>
            <w:r>
              <w:rPr>
                <w:rFonts w:hint="eastAsia"/>
              </w:rPr>
              <w:t>知识</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学习能力</w:t>
            </w:r>
          </w:p>
        </w:tc>
        <w:tc>
          <w:tcPr>
            <w:tcW w:w="5663" w:type="dxa"/>
            <w:shd w:val="clear" w:color="auto" w:fill="auto"/>
            <w:vAlign w:val="center"/>
          </w:tcPr>
          <w:p>
            <w:pPr>
              <w:pStyle w:val="178"/>
            </w:pPr>
            <w:r>
              <w:rPr>
                <w:rFonts w:hint="eastAsia"/>
              </w:rPr>
              <w:t>具有探究学习、终身学习和可持续发展的能力，具有整合知识和综合运用知识分析问题和解决问题的能力</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自我规划</w:t>
            </w:r>
          </w:p>
        </w:tc>
        <w:tc>
          <w:tcPr>
            <w:tcW w:w="5663" w:type="dxa"/>
            <w:shd w:val="clear" w:color="auto" w:fill="auto"/>
            <w:vAlign w:val="center"/>
          </w:tcPr>
          <w:p>
            <w:pPr>
              <w:pStyle w:val="178"/>
            </w:pPr>
            <w:r>
              <w:rPr>
                <w:rFonts w:hint="eastAsia"/>
              </w:rPr>
              <w:t>具有良好的人文素养与科学素养，具备职业生涯规划能力</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交流合作</w:t>
            </w:r>
          </w:p>
        </w:tc>
        <w:tc>
          <w:tcPr>
            <w:tcW w:w="2104" w:type="dxa"/>
            <w:shd w:val="clear" w:color="auto" w:fill="auto"/>
            <w:vAlign w:val="center"/>
          </w:tcPr>
          <w:p>
            <w:pPr>
              <w:pStyle w:val="178"/>
            </w:pPr>
            <w:r>
              <w:rPr>
                <w:rFonts w:hint="eastAsia"/>
              </w:rPr>
              <w:t>善于表达</w:t>
            </w:r>
          </w:p>
        </w:tc>
        <w:tc>
          <w:tcPr>
            <w:tcW w:w="5663" w:type="dxa"/>
            <w:shd w:val="clear" w:color="auto" w:fill="auto"/>
            <w:vAlign w:val="center"/>
          </w:tcPr>
          <w:p>
            <w:pPr>
              <w:pStyle w:val="178"/>
            </w:pPr>
            <w:r>
              <w:rPr>
                <w:rFonts w:hint="eastAsia"/>
              </w:rPr>
              <w:t>具有良好的语言表达能力、文字表达能力</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沟通合作</w:t>
            </w:r>
          </w:p>
        </w:tc>
        <w:tc>
          <w:tcPr>
            <w:tcW w:w="5663" w:type="dxa"/>
            <w:shd w:val="clear" w:color="auto" w:fill="auto"/>
            <w:vAlign w:val="center"/>
          </w:tcPr>
          <w:p>
            <w:pPr>
              <w:pStyle w:val="178"/>
            </w:pPr>
            <w:r>
              <w:rPr>
                <w:rFonts w:hint="eastAsia"/>
              </w:rPr>
              <w:t>具有沟通合作能力和较强的集体意识、团队合作意识</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restart"/>
            <w:shd w:val="clear" w:color="auto" w:fill="auto"/>
            <w:vAlign w:val="center"/>
          </w:tcPr>
          <w:p>
            <w:pPr>
              <w:pStyle w:val="178"/>
            </w:pPr>
            <w:r>
              <w:rPr>
                <w:rFonts w:hint="eastAsia"/>
              </w:rPr>
              <w:t>职业发展</w:t>
            </w:r>
          </w:p>
        </w:tc>
        <w:tc>
          <w:tcPr>
            <w:tcW w:w="2104" w:type="dxa"/>
            <w:shd w:val="clear" w:color="auto" w:fill="auto"/>
            <w:vAlign w:val="center"/>
          </w:tcPr>
          <w:p>
            <w:pPr>
              <w:pStyle w:val="178"/>
            </w:pPr>
            <w:r>
              <w:rPr>
                <w:rFonts w:hint="eastAsia"/>
              </w:rPr>
              <w:t>技术学习</w:t>
            </w:r>
          </w:p>
        </w:tc>
        <w:tc>
          <w:tcPr>
            <w:tcW w:w="5663" w:type="dxa"/>
            <w:shd w:val="clear" w:color="auto" w:fill="auto"/>
            <w:vAlign w:val="center"/>
          </w:tcPr>
          <w:p>
            <w:pPr>
              <w:pStyle w:val="178"/>
            </w:pPr>
            <w:r>
              <w:rPr>
                <w:rFonts w:hint="eastAsia"/>
              </w:rPr>
              <w:t>主动跟踪新技术发展动态，持续更新专业知识</w:t>
            </w:r>
          </w:p>
        </w:tc>
        <w:tc>
          <w:tcPr>
            <w:tcW w:w="1800"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7" w:hRule="atLeast"/>
        </w:trPr>
        <w:tc>
          <w:tcPr>
            <w:tcW w:w="1709" w:type="dxa"/>
            <w:vMerge w:val="continue"/>
            <w:shd w:val="clear" w:color="auto" w:fill="auto"/>
            <w:vAlign w:val="center"/>
          </w:tcPr>
          <w:p>
            <w:pPr>
              <w:pStyle w:val="178"/>
            </w:pPr>
          </w:p>
        </w:tc>
        <w:tc>
          <w:tcPr>
            <w:tcW w:w="2296" w:type="dxa"/>
            <w:vMerge w:val="continue"/>
            <w:shd w:val="clear" w:color="auto" w:fill="auto"/>
            <w:vAlign w:val="center"/>
          </w:tcPr>
          <w:p>
            <w:pPr>
              <w:pStyle w:val="178"/>
            </w:pPr>
          </w:p>
        </w:tc>
        <w:tc>
          <w:tcPr>
            <w:tcW w:w="2104" w:type="dxa"/>
            <w:shd w:val="clear" w:color="auto" w:fill="auto"/>
            <w:vAlign w:val="center"/>
          </w:tcPr>
          <w:p>
            <w:pPr>
              <w:pStyle w:val="178"/>
            </w:pPr>
            <w:r>
              <w:rPr>
                <w:rFonts w:hint="eastAsia"/>
              </w:rPr>
              <w:t>创新应用</w:t>
            </w:r>
          </w:p>
        </w:tc>
        <w:tc>
          <w:tcPr>
            <w:tcW w:w="5663" w:type="dxa"/>
            <w:shd w:val="clear" w:color="auto" w:fill="auto"/>
            <w:vAlign w:val="center"/>
          </w:tcPr>
          <w:p>
            <w:pPr>
              <w:pStyle w:val="178"/>
            </w:pPr>
            <w:r>
              <w:rPr>
                <w:rFonts w:hint="eastAsia"/>
              </w:rPr>
              <w:t>能针对实践需求，有效开展技术革新</w:t>
            </w:r>
          </w:p>
        </w:tc>
        <w:tc>
          <w:tcPr>
            <w:tcW w:w="1800" w:type="dxa"/>
            <w:shd w:val="clear" w:color="auto" w:fill="auto"/>
            <w:vAlign w:val="center"/>
          </w:tcPr>
          <w:p>
            <w:pPr>
              <w:pStyle w:val="178"/>
            </w:pPr>
          </w:p>
        </w:tc>
      </w:tr>
    </w:tbl>
    <w:p>
      <w:pPr>
        <w:pStyle w:val="56"/>
        <w:ind w:firstLine="420"/>
        <w:sectPr>
          <w:pgSz w:w="16838" w:h="11906" w:orient="landscape"/>
          <w:pgMar w:top="1134" w:right="1928"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r>
        <w:rPr>
          <w:rFonts w:hint="eastAsia"/>
        </w:rPr>
        <w:t>（资料性）</w:t>
      </w:r>
      <w:r>
        <w:br w:type="textWrapping"/>
      </w:r>
      <w:r>
        <w:rPr>
          <w:rFonts w:hint="eastAsia"/>
        </w:rPr>
        <w:t>培训综合质量考核评分表</w:t>
      </w:r>
    </w:p>
    <w:tbl>
      <w:tblPr>
        <w:tblStyle w:val="27"/>
        <w:tblW w:w="13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550"/>
        <w:gridCol w:w="5953"/>
        <w:gridCol w:w="2268"/>
        <w:gridCol w:w="1985"/>
        <w:gridCol w:w="2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79" w:hRule="atLeast"/>
          <w:tblHeader/>
          <w:jc w:val="center"/>
        </w:trPr>
        <w:tc>
          <w:tcPr>
            <w:tcW w:w="7503" w:type="dxa"/>
            <w:gridSpan w:val="2"/>
            <w:tcBorders>
              <w:top w:val="single" w:color="auto" w:sz="8" w:space="0"/>
              <w:bottom w:val="single" w:color="auto" w:sz="8" w:space="0"/>
            </w:tcBorders>
            <w:shd w:val="clear" w:color="auto" w:fill="auto"/>
            <w:vAlign w:val="center"/>
          </w:tcPr>
          <w:p>
            <w:pPr>
              <w:pStyle w:val="178"/>
            </w:pPr>
            <w:r>
              <w:rPr>
                <w:rFonts w:hint="eastAsia"/>
              </w:rPr>
              <w:t>项目</w:t>
            </w:r>
          </w:p>
        </w:tc>
        <w:tc>
          <w:tcPr>
            <w:tcW w:w="2268" w:type="dxa"/>
            <w:tcBorders>
              <w:top w:val="single" w:color="auto" w:sz="8" w:space="0"/>
              <w:bottom w:val="single" w:color="auto" w:sz="8" w:space="0"/>
            </w:tcBorders>
            <w:shd w:val="clear" w:color="auto" w:fill="auto"/>
          </w:tcPr>
          <w:p>
            <w:pPr>
              <w:jc w:val="center"/>
            </w:pPr>
            <w:r>
              <w:rPr>
                <w:rFonts w:hint="eastAsia" w:ascii="宋体" w:cs="宋体"/>
                <w:kern w:val="0"/>
                <w:sz w:val="18"/>
                <w:szCs w:val="18"/>
              </w:rPr>
              <w:t>权重</w:t>
            </w:r>
          </w:p>
        </w:tc>
        <w:tc>
          <w:tcPr>
            <w:tcW w:w="1985" w:type="dxa"/>
            <w:tcBorders>
              <w:top w:val="single" w:color="auto" w:sz="8" w:space="0"/>
              <w:bottom w:val="single" w:color="auto" w:sz="8" w:space="0"/>
            </w:tcBorders>
            <w:shd w:val="clear" w:color="auto" w:fill="auto"/>
          </w:tcPr>
          <w:p>
            <w:pPr>
              <w:jc w:val="center"/>
            </w:pPr>
            <w:r>
              <w:rPr>
                <w:rFonts w:hint="eastAsia" w:ascii="宋体" w:cs="宋体"/>
                <w:kern w:val="0"/>
                <w:sz w:val="18"/>
                <w:szCs w:val="18"/>
              </w:rPr>
              <w:t>分值</w:t>
            </w:r>
          </w:p>
        </w:tc>
        <w:tc>
          <w:tcPr>
            <w:tcW w:w="2109" w:type="dxa"/>
            <w:tcBorders>
              <w:top w:val="single" w:color="auto" w:sz="8" w:space="0"/>
              <w:bottom w:val="single" w:color="auto" w:sz="8" w:space="0"/>
            </w:tcBorders>
            <w:shd w:val="clear" w:color="auto" w:fill="auto"/>
          </w:tcPr>
          <w:p>
            <w:pPr>
              <w:jc w:val="center"/>
            </w:pPr>
            <w:r>
              <w:rPr>
                <w:rFonts w:hint="eastAsia" w:ascii="宋体" w:cs="宋体"/>
                <w:kern w:val="0"/>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38" w:hRule="atLeast"/>
          <w:jc w:val="center"/>
        </w:trPr>
        <w:tc>
          <w:tcPr>
            <w:tcW w:w="1550" w:type="dxa"/>
            <w:tcBorders>
              <w:top w:val="single" w:color="auto" w:sz="8" w:space="0"/>
            </w:tcBorders>
            <w:shd w:val="clear" w:color="auto" w:fill="auto"/>
            <w:vAlign w:val="center"/>
          </w:tcPr>
          <w:p>
            <w:pPr>
              <w:pStyle w:val="178"/>
            </w:pPr>
            <w:r>
              <w:rPr>
                <w:rFonts w:hint="eastAsia"/>
              </w:rPr>
              <w:t>理论知识</w:t>
            </w:r>
          </w:p>
        </w:tc>
        <w:tc>
          <w:tcPr>
            <w:tcW w:w="5953" w:type="dxa"/>
            <w:tcBorders>
              <w:top w:val="single" w:color="auto" w:sz="8" w:space="0"/>
            </w:tcBorders>
            <w:shd w:val="clear" w:color="auto" w:fill="auto"/>
            <w:vAlign w:val="center"/>
          </w:tcPr>
          <w:p>
            <w:pPr>
              <w:pStyle w:val="178"/>
            </w:pPr>
            <w:r>
              <w:rPr>
                <w:rFonts w:hint="eastAsia"/>
              </w:rPr>
              <w:t>课程结束后按学科内容进行考核</w:t>
            </w:r>
          </w:p>
        </w:tc>
        <w:tc>
          <w:tcPr>
            <w:tcW w:w="2268" w:type="dxa"/>
            <w:tcBorders>
              <w:top w:val="single" w:color="auto" w:sz="8" w:space="0"/>
            </w:tcBorders>
            <w:shd w:val="clear" w:color="auto" w:fill="auto"/>
            <w:vAlign w:val="center"/>
          </w:tcPr>
          <w:p>
            <w:pPr>
              <w:pStyle w:val="178"/>
            </w:pPr>
            <w:r>
              <w:t>20%</w:t>
            </w:r>
          </w:p>
        </w:tc>
        <w:tc>
          <w:tcPr>
            <w:tcW w:w="1985" w:type="dxa"/>
            <w:tcBorders>
              <w:top w:val="single" w:color="auto" w:sz="8" w:space="0"/>
            </w:tcBorders>
            <w:shd w:val="clear" w:color="auto" w:fill="auto"/>
            <w:vAlign w:val="center"/>
          </w:tcPr>
          <w:p>
            <w:pPr>
              <w:pStyle w:val="178"/>
            </w:pPr>
          </w:p>
        </w:tc>
        <w:tc>
          <w:tcPr>
            <w:tcW w:w="2109"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38" w:hRule="atLeast"/>
          <w:jc w:val="center"/>
        </w:trPr>
        <w:tc>
          <w:tcPr>
            <w:tcW w:w="1550" w:type="dxa"/>
            <w:shd w:val="clear" w:color="auto" w:fill="auto"/>
            <w:vAlign w:val="center"/>
          </w:tcPr>
          <w:p>
            <w:pPr>
              <w:pStyle w:val="178"/>
            </w:pPr>
            <w:r>
              <w:rPr>
                <w:rFonts w:hint="eastAsia"/>
              </w:rPr>
              <w:t>专业技能</w:t>
            </w:r>
          </w:p>
        </w:tc>
        <w:tc>
          <w:tcPr>
            <w:tcW w:w="5953" w:type="dxa"/>
            <w:shd w:val="clear" w:color="auto" w:fill="auto"/>
            <w:vAlign w:val="center"/>
          </w:tcPr>
          <w:p>
            <w:pPr>
              <w:pStyle w:val="178"/>
            </w:pPr>
            <w:r>
              <w:rPr>
                <w:rFonts w:hint="eastAsia"/>
              </w:rPr>
              <w:t>根据学生在培训期间的实际表现和项目任务的完</w:t>
            </w:r>
          </w:p>
          <w:p>
            <w:pPr>
              <w:pStyle w:val="178"/>
            </w:pPr>
            <w:r>
              <w:rPr>
                <w:rFonts w:hint="eastAsia"/>
              </w:rPr>
              <w:t>成状况进行考核</w:t>
            </w:r>
          </w:p>
        </w:tc>
        <w:tc>
          <w:tcPr>
            <w:tcW w:w="2268" w:type="dxa"/>
            <w:shd w:val="clear" w:color="auto" w:fill="auto"/>
            <w:vAlign w:val="center"/>
          </w:tcPr>
          <w:p>
            <w:pPr>
              <w:pStyle w:val="178"/>
            </w:pPr>
            <w:r>
              <w:t>30%</w:t>
            </w:r>
          </w:p>
        </w:tc>
        <w:tc>
          <w:tcPr>
            <w:tcW w:w="1985" w:type="dxa"/>
            <w:shd w:val="clear" w:color="auto" w:fill="auto"/>
            <w:vAlign w:val="center"/>
          </w:tcPr>
          <w:p>
            <w:pPr>
              <w:pStyle w:val="178"/>
            </w:pPr>
          </w:p>
        </w:tc>
        <w:tc>
          <w:tcPr>
            <w:tcW w:w="210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38" w:hRule="atLeast"/>
          <w:jc w:val="center"/>
        </w:trPr>
        <w:tc>
          <w:tcPr>
            <w:tcW w:w="1550" w:type="dxa"/>
            <w:shd w:val="clear" w:color="auto" w:fill="auto"/>
            <w:vAlign w:val="center"/>
          </w:tcPr>
          <w:p>
            <w:pPr>
              <w:pStyle w:val="178"/>
            </w:pPr>
            <w:r>
              <w:rPr>
                <w:rFonts w:hint="eastAsia"/>
              </w:rPr>
              <w:t>职业素养</w:t>
            </w:r>
          </w:p>
        </w:tc>
        <w:tc>
          <w:tcPr>
            <w:tcW w:w="5953" w:type="dxa"/>
            <w:shd w:val="clear" w:color="auto" w:fill="auto"/>
            <w:vAlign w:val="center"/>
          </w:tcPr>
          <w:p>
            <w:pPr>
              <w:pStyle w:val="178"/>
            </w:pPr>
            <w:r>
              <w:rPr>
                <w:rFonts w:hint="eastAsia"/>
              </w:rPr>
              <w:t>学生日常行为规范、职业道德、接受培训意愿和</w:t>
            </w:r>
          </w:p>
          <w:p>
            <w:pPr>
              <w:pStyle w:val="178"/>
            </w:pPr>
            <w:r>
              <w:rPr>
                <w:rFonts w:hint="eastAsia"/>
              </w:rPr>
              <w:t>安全生产等方面进行考核</w:t>
            </w:r>
          </w:p>
        </w:tc>
        <w:tc>
          <w:tcPr>
            <w:tcW w:w="2268" w:type="dxa"/>
            <w:shd w:val="clear" w:color="auto" w:fill="auto"/>
            <w:vAlign w:val="center"/>
          </w:tcPr>
          <w:p>
            <w:pPr>
              <w:pStyle w:val="178"/>
            </w:pPr>
            <w:r>
              <w:t>20%</w:t>
            </w:r>
          </w:p>
        </w:tc>
        <w:tc>
          <w:tcPr>
            <w:tcW w:w="1985" w:type="dxa"/>
            <w:shd w:val="clear" w:color="auto" w:fill="auto"/>
            <w:vAlign w:val="center"/>
          </w:tcPr>
          <w:p>
            <w:pPr>
              <w:pStyle w:val="178"/>
            </w:pPr>
          </w:p>
        </w:tc>
        <w:tc>
          <w:tcPr>
            <w:tcW w:w="210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38" w:hRule="atLeast"/>
          <w:jc w:val="center"/>
        </w:trPr>
        <w:tc>
          <w:tcPr>
            <w:tcW w:w="1550" w:type="dxa"/>
            <w:shd w:val="clear" w:color="auto" w:fill="auto"/>
            <w:vAlign w:val="center"/>
          </w:tcPr>
          <w:p>
            <w:pPr>
              <w:pStyle w:val="178"/>
            </w:pPr>
            <w:r>
              <w:rPr>
                <w:rFonts w:hint="eastAsia"/>
              </w:rPr>
              <w:t>综合测评</w:t>
            </w:r>
          </w:p>
        </w:tc>
        <w:tc>
          <w:tcPr>
            <w:tcW w:w="5953" w:type="dxa"/>
            <w:shd w:val="clear" w:color="auto" w:fill="auto"/>
            <w:vAlign w:val="center"/>
          </w:tcPr>
          <w:p>
            <w:pPr>
              <w:pStyle w:val="178"/>
            </w:pPr>
            <w:r>
              <w:rPr>
                <w:rFonts w:hint="eastAsia"/>
              </w:rPr>
              <w:t>按第三方机构组织的职业能力综合考试流程和规</w:t>
            </w:r>
          </w:p>
          <w:p>
            <w:pPr>
              <w:pStyle w:val="178"/>
            </w:pPr>
            <w:r>
              <w:rPr>
                <w:rFonts w:hint="eastAsia"/>
              </w:rPr>
              <w:t>程进行考核</w:t>
            </w:r>
          </w:p>
        </w:tc>
        <w:tc>
          <w:tcPr>
            <w:tcW w:w="2268" w:type="dxa"/>
            <w:shd w:val="clear" w:color="auto" w:fill="auto"/>
            <w:vAlign w:val="center"/>
          </w:tcPr>
          <w:p>
            <w:pPr>
              <w:pStyle w:val="178"/>
            </w:pPr>
            <w:r>
              <w:t>30%</w:t>
            </w:r>
          </w:p>
        </w:tc>
        <w:tc>
          <w:tcPr>
            <w:tcW w:w="1985" w:type="dxa"/>
            <w:shd w:val="clear" w:color="auto" w:fill="auto"/>
            <w:vAlign w:val="center"/>
          </w:tcPr>
          <w:p>
            <w:pPr>
              <w:pStyle w:val="178"/>
            </w:pPr>
          </w:p>
        </w:tc>
        <w:tc>
          <w:tcPr>
            <w:tcW w:w="2109"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38" w:hRule="atLeast"/>
          <w:jc w:val="center"/>
        </w:trPr>
        <w:tc>
          <w:tcPr>
            <w:tcW w:w="11756" w:type="dxa"/>
            <w:gridSpan w:val="4"/>
            <w:tcBorders>
              <w:bottom w:val="single" w:color="auto" w:sz="8" w:space="0"/>
            </w:tcBorders>
            <w:shd w:val="clear" w:color="auto" w:fill="auto"/>
            <w:vAlign w:val="center"/>
          </w:tcPr>
          <w:p>
            <w:pPr>
              <w:pStyle w:val="178"/>
            </w:pPr>
            <w:r>
              <w:rPr>
                <w:rFonts w:hint="eastAsia"/>
              </w:rPr>
              <w:t>合计</w:t>
            </w:r>
          </w:p>
        </w:tc>
        <w:tc>
          <w:tcPr>
            <w:tcW w:w="2109" w:type="dxa"/>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234" w:hRule="atLeast"/>
          <w:jc w:val="center"/>
        </w:trPr>
        <w:tc>
          <w:tcPr>
            <w:tcW w:w="13865" w:type="dxa"/>
            <w:gridSpan w:val="5"/>
            <w:tcBorders>
              <w:top w:val="single" w:color="auto" w:sz="8" w:space="0"/>
              <w:bottom w:val="single" w:color="auto" w:sz="8" w:space="0"/>
            </w:tcBorders>
            <w:shd w:val="clear" w:color="auto" w:fill="auto"/>
            <w:vAlign w:val="center"/>
          </w:tcPr>
          <w:p>
            <w:pPr>
              <w:pStyle w:val="178"/>
              <w:jc w:val="left"/>
            </w:pPr>
            <w:r>
              <w:rPr>
                <w:rFonts w:hint="eastAsia" w:ascii="黑体" w:hAnsi="黑体" w:eastAsia="黑体"/>
              </w:rPr>
              <w:t>注1：</w:t>
            </w:r>
            <w:r>
              <w:rPr>
                <w:rFonts w:hint="eastAsia"/>
              </w:rPr>
              <w:t>评价分值采用百分制，若单项分值小于60 分，直接评定为不合格；</w:t>
            </w:r>
          </w:p>
          <w:p>
            <w:pPr>
              <w:pStyle w:val="178"/>
              <w:jc w:val="left"/>
            </w:pPr>
            <w:r>
              <w:rPr>
                <w:rFonts w:hint="eastAsia" w:ascii="黑体" w:hAnsi="黑体" w:eastAsia="黑体"/>
              </w:rPr>
              <w:t>注2：</w:t>
            </w:r>
            <w:r>
              <w:rPr>
                <w:rFonts w:hint="eastAsia"/>
              </w:rPr>
              <w:t>合计分值90 分及以上评定为优秀，80 分—89 分评定为良好，70 分—79 分评定为中等，60 分—69 分评定为合格，小于60 分评定为不合格。</w:t>
            </w:r>
          </w:p>
        </w:tc>
      </w:tr>
    </w:tbl>
    <w:p>
      <w:pPr>
        <w:pStyle w:val="56"/>
        <w:ind w:firstLine="420"/>
      </w:pPr>
    </w:p>
    <w:p>
      <w:pPr>
        <w:pStyle w:val="56"/>
        <w:ind w:firstLine="420"/>
      </w:pPr>
    </w:p>
    <w:p>
      <w:pPr>
        <w:pStyle w:val="56"/>
        <w:ind w:firstLine="420"/>
      </w:pPr>
    </w:p>
    <w:p>
      <w:pPr>
        <w:pStyle w:val="56"/>
        <w:ind w:firstLine="420"/>
      </w:pPr>
    </w:p>
    <w:p>
      <w:pPr>
        <w:pStyle w:val="56"/>
        <w:ind w:firstLine="420"/>
        <w:sectPr>
          <w:pgSz w:w="16838" w:h="11906" w:orient="landscape"/>
          <w:pgMar w:top="1134" w:right="1928"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r>
        <w:rPr>
          <w:rFonts w:hint="eastAsia"/>
        </w:rPr>
        <w:t>（资料性）</w:t>
      </w:r>
      <w:r>
        <w:br w:type="textWrapping"/>
      </w:r>
    </w:p>
    <w:p>
      <w:pPr>
        <w:pStyle w:val="56"/>
        <w:ind w:firstLine="420"/>
      </w:pPr>
    </w:p>
    <w:p>
      <w:pPr>
        <w:pStyle w:val="56"/>
        <w:ind w:firstLine="420"/>
      </w:pPr>
    </w:p>
    <w:p>
      <w:pPr>
        <w:pStyle w:val="56"/>
        <w:ind w:firstLine="420"/>
      </w:pPr>
    </w:p>
    <w:p>
      <w:pPr>
        <w:pStyle w:val="56"/>
        <w:ind w:firstLine="420"/>
      </w:pPr>
    </w:p>
    <w:p>
      <w:pPr>
        <w:pStyle w:val="56"/>
        <w:ind w:firstLine="420"/>
      </w:pPr>
    </w:p>
    <w:bookmarkEnd w:id="43"/>
    <w:p>
      <w:pPr>
        <w:pStyle w:val="56"/>
        <w:ind w:firstLine="420"/>
      </w:pPr>
    </w:p>
    <w:p>
      <w:pPr>
        <w:pStyle w:val="56"/>
        <w:ind w:firstLine="420"/>
      </w:pPr>
    </w:p>
    <w:p>
      <w:pPr>
        <w:pStyle w:val="56"/>
        <w:ind w:firstLine="420"/>
      </w:pPr>
    </w:p>
    <w:sectPr>
      <w:pgSz w:w="16838" w:h="11906" w:orient="landscape"/>
      <w:pgMar w:top="1134" w:right="1928"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710"/>
        </w:tabs>
        <w:ind w:left="710"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d1EGR7WaKTZ0mp83HZlQ+Cid6vlGgEJeiccqk0LcYRMHYdiERhfuDUjc1s3xknlxL3ALjk8MBTgb5pANuIVFXA==" w:salt="xnGnOEXbMbEo1ARdHt1nQ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2C"/>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26887"/>
    <w:rsid w:val="000303C3"/>
    <w:rsid w:val="000331D3"/>
    <w:rsid w:val="000346A5"/>
    <w:rsid w:val="00034A68"/>
    <w:rsid w:val="000359C3"/>
    <w:rsid w:val="00035A7D"/>
    <w:rsid w:val="000365ED"/>
    <w:rsid w:val="0004249A"/>
    <w:rsid w:val="000427B9"/>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79E"/>
    <w:rsid w:val="000619E9"/>
    <w:rsid w:val="000622D4"/>
    <w:rsid w:val="00062D25"/>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5D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79"/>
    <w:rsid w:val="001338EE"/>
    <w:rsid w:val="00133AAE"/>
    <w:rsid w:val="00135323"/>
    <w:rsid w:val="001356C4"/>
    <w:rsid w:val="00137565"/>
    <w:rsid w:val="00141114"/>
    <w:rsid w:val="00142969"/>
    <w:rsid w:val="001446C2"/>
    <w:rsid w:val="001457E7"/>
    <w:rsid w:val="00145D9D"/>
    <w:rsid w:val="00146388"/>
    <w:rsid w:val="001529E5"/>
    <w:rsid w:val="00152AC1"/>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4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3CD"/>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031"/>
    <w:rsid w:val="001E1B6A"/>
    <w:rsid w:val="001E2484"/>
    <w:rsid w:val="001E3CC4"/>
    <w:rsid w:val="001E3F13"/>
    <w:rsid w:val="001E4882"/>
    <w:rsid w:val="001E73AB"/>
    <w:rsid w:val="001F092D"/>
    <w:rsid w:val="001F143A"/>
    <w:rsid w:val="001F1605"/>
    <w:rsid w:val="001F18B4"/>
    <w:rsid w:val="001F2508"/>
    <w:rsid w:val="001F4816"/>
    <w:rsid w:val="001F69B4"/>
    <w:rsid w:val="001F77C7"/>
    <w:rsid w:val="00200183"/>
    <w:rsid w:val="00200333"/>
    <w:rsid w:val="0020107D"/>
    <w:rsid w:val="00202AA4"/>
    <w:rsid w:val="00202F4F"/>
    <w:rsid w:val="002031F7"/>
    <w:rsid w:val="002040E6"/>
    <w:rsid w:val="0020527B"/>
    <w:rsid w:val="00205F2C"/>
    <w:rsid w:val="00210B15"/>
    <w:rsid w:val="002142EA"/>
    <w:rsid w:val="00215ADD"/>
    <w:rsid w:val="002204BB"/>
    <w:rsid w:val="00221B79"/>
    <w:rsid w:val="00221C6B"/>
    <w:rsid w:val="002251CC"/>
    <w:rsid w:val="002253A1"/>
    <w:rsid w:val="00225CF8"/>
    <w:rsid w:val="0022794E"/>
    <w:rsid w:val="00233D64"/>
    <w:rsid w:val="0023482A"/>
    <w:rsid w:val="002359CB"/>
    <w:rsid w:val="002361B4"/>
    <w:rsid w:val="0023733D"/>
    <w:rsid w:val="00242BCE"/>
    <w:rsid w:val="00243243"/>
    <w:rsid w:val="00243540"/>
    <w:rsid w:val="0024497B"/>
    <w:rsid w:val="0024515B"/>
    <w:rsid w:val="00246021"/>
    <w:rsid w:val="0024666E"/>
    <w:rsid w:val="00247F52"/>
    <w:rsid w:val="0025020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38B"/>
    <w:rsid w:val="00293B30"/>
    <w:rsid w:val="00294206"/>
    <w:rsid w:val="0029464B"/>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42C"/>
    <w:rsid w:val="002C3F07"/>
    <w:rsid w:val="002C5278"/>
    <w:rsid w:val="002C7677"/>
    <w:rsid w:val="002C7EBB"/>
    <w:rsid w:val="002D06C1"/>
    <w:rsid w:val="002D42B5"/>
    <w:rsid w:val="002D4F1A"/>
    <w:rsid w:val="002D6EC6"/>
    <w:rsid w:val="002D79AC"/>
    <w:rsid w:val="002E039D"/>
    <w:rsid w:val="002E4D5A"/>
    <w:rsid w:val="002E6326"/>
    <w:rsid w:val="002F30E0"/>
    <w:rsid w:val="002F35E4"/>
    <w:rsid w:val="002F3730"/>
    <w:rsid w:val="002F38E1"/>
    <w:rsid w:val="002F6B8B"/>
    <w:rsid w:val="002F7AF6"/>
    <w:rsid w:val="00300E63"/>
    <w:rsid w:val="00302522"/>
    <w:rsid w:val="00302F5F"/>
    <w:rsid w:val="0030441D"/>
    <w:rsid w:val="00304A8A"/>
    <w:rsid w:val="00306063"/>
    <w:rsid w:val="00313B85"/>
    <w:rsid w:val="00317988"/>
    <w:rsid w:val="003221B4"/>
    <w:rsid w:val="0032258D"/>
    <w:rsid w:val="00322E62"/>
    <w:rsid w:val="00324D13"/>
    <w:rsid w:val="00324EDD"/>
    <w:rsid w:val="003331E4"/>
    <w:rsid w:val="00336C64"/>
    <w:rsid w:val="00337162"/>
    <w:rsid w:val="0034194F"/>
    <w:rsid w:val="00344605"/>
    <w:rsid w:val="00344FD6"/>
    <w:rsid w:val="003474AA"/>
    <w:rsid w:val="003500F2"/>
    <w:rsid w:val="00350D1D"/>
    <w:rsid w:val="00352C83"/>
    <w:rsid w:val="00352F1A"/>
    <w:rsid w:val="0036107C"/>
    <w:rsid w:val="00361579"/>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E68"/>
    <w:rsid w:val="003938D9"/>
    <w:rsid w:val="00394376"/>
    <w:rsid w:val="003943FF"/>
    <w:rsid w:val="003974EB"/>
    <w:rsid w:val="00397CC5"/>
    <w:rsid w:val="003A11D1"/>
    <w:rsid w:val="003A1582"/>
    <w:rsid w:val="003A3D9C"/>
    <w:rsid w:val="003A4077"/>
    <w:rsid w:val="003A4AA7"/>
    <w:rsid w:val="003B09AD"/>
    <w:rsid w:val="003B1F18"/>
    <w:rsid w:val="003B1F1A"/>
    <w:rsid w:val="003B4811"/>
    <w:rsid w:val="003B5BF0"/>
    <w:rsid w:val="003B60BF"/>
    <w:rsid w:val="003B6BE3"/>
    <w:rsid w:val="003C010C"/>
    <w:rsid w:val="003C0A6C"/>
    <w:rsid w:val="003C14F8"/>
    <w:rsid w:val="003C18FE"/>
    <w:rsid w:val="003C5A43"/>
    <w:rsid w:val="003D0519"/>
    <w:rsid w:val="003D0FF6"/>
    <w:rsid w:val="003D262C"/>
    <w:rsid w:val="003D6D61"/>
    <w:rsid w:val="003E019F"/>
    <w:rsid w:val="003E091D"/>
    <w:rsid w:val="003E1C53"/>
    <w:rsid w:val="003E2A69"/>
    <w:rsid w:val="003E2D49"/>
    <w:rsid w:val="003E2FD4"/>
    <w:rsid w:val="003E49F6"/>
    <w:rsid w:val="003E5AFF"/>
    <w:rsid w:val="003E660F"/>
    <w:rsid w:val="003F0841"/>
    <w:rsid w:val="003F23D3"/>
    <w:rsid w:val="003F3F08"/>
    <w:rsid w:val="003F49F1"/>
    <w:rsid w:val="003F6272"/>
    <w:rsid w:val="00400E72"/>
    <w:rsid w:val="00401400"/>
    <w:rsid w:val="00404869"/>
    <w:rsid w:val="00405884"/>
    <w:rsid w:val="00407D39"/>
    <w:rsid w:val="0041477A"/>
    <w:rsid w:val="004167A3"/>
    <w:rsid w:val="0041692E"/>
    <w:rsid w:val="00427091"/>
    <w:rsid w:val="00427C7D"/>
    <w:rsid w:val="00432DAA"/>
    <w:rsid w:val="00434305"/>
    <w:rsid w:val="00435DF7"/>
    <w:rsid w:val="0043741A"/>
    <w:rsid w:val="0044083F"/>
    <w:rsid w:val="00441576"/>
    <w:rsid w:val="00441AE7"/>
    <w:rsid w:val="00445574"/>
    <w:rsid w:val="004467FB"/>
    <w:rsid w:val="00450E97"/>
    <w:rsid w:val="00452D6B"/>
    <w:rsid w:val="00454484"/>
    <w:rsid w:val="0045517B"/>
    <w:rsid w:val="00463B77"/>
    <w:rsid w:val="00463C7B"/>
    <w:rsid w:val="004644A6"/>
    <w:rsid w:val="004659BD"/>
    <w:rsid w:val="004673A7"/>
    <w:rsid w:val="004701B2"/>
    <w:rsid w:val="00470775"/>
    <w:rsid w:val="004746B1"/>
    <w:rsid w:val="0047583F"/>
    <w:rsid w:val="00475DE8"/>
    <w:rsid w:val="00481C44"/>
    <w:rsid w:val="00483499"/>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814"/>
    <w:rsid w:val="004B2E1B"/>
    <w:rsid w:val="004B3AA8"/>
    <w:rsid w:val="004B3E7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FCC"/>
    <w:rsid w:val="00512F6E"/>
    <w:rsid w:val="00513038"/>
    <w:rsid w:val="00514174"/>
    <w:rsid w:val="005141B3"/>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866"/>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D3A"/>
    <w:rsid w:val="005E6812"/>
    <w:rsid w:val="005E7881"/>
    <w:rsid w:val="005E78E0"/>
    <w:rsid w:val="005F0D9C"/>
    <w:rsid w:val="005F2280"/>
    <w:rsid w:val="005F284E"/>
    <w:rsid w:val="005F4CBC"/>
    <w:rsid w:val="006015CE"/>
    <w:rsid w:val="00604784"/>
    <w:rsid w:val="00606419"/>
    <w:rsid w:val="00607D29"/>
    <w:rsid w:val="00612952"/>
    <w:rsid w:val="00614CC1"/>
    <w:rsid w:val="00615A9D"/>
    <w:rsid w:val="00617387"/>
    <w:rsid w:val="006205D6"/>
    <w:rsid w:val="0062282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11A"/>
    <w:rsid w:val="00654EC0"/>
    <w:rsid w:val="0065525B"/>
    <w:rsid w:val="00655D4F"/>
    <w:rsid w:val="00656D29"/>
    <w:rsid w:val="006640E5"/>
    <w:rsid w:val="006646F1"/>
    <w:rsid w:val="00664929"/>
    <w:rsid w:val="00664F62"/>
    <w:rsid w:val="006655E1"/>
    <w:rsid w:val="00672060"/>
    <w:rsid w:val="00672BFD"/>
    <w:rsid w:val="0067310F"/>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77A"/>
    <w:rsid w:val="006E28E0"/>
    <w:rsid w:val="006F03A8"/>
    <w:rsid w:val="006F2ACA"/>
    <w:rsid w:val="006F2ADC"/>
    <w:rsid w:val="006F2BFE"/>
    <w:rsid w:val="006F31E9"/>
    <w:rsid w:val="006F6284"/>
    <w:rsid w:val="006F71DF"/>
    <w:rsid w:val="007002C5"/>
    <w:rsid w:val="00704387"/>
    <w:rsid w:val="00705CDC"/>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505"/>
    <w:rsid w:val="00750D61"/>
    <w:rsid w:val="00750EE1"/>
    <w:rsid w:val="00751D66"/>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A0C"/>
    <w:rsid w:val="007959E8"/>
    <w:rsid w:val="00795E9C"/>
    <w:rsid w:val="007A0521"/>
    <w:rsid w:val="007A2E12"/>
    <w:rsid w:val="007A3475"/>
    <w:rsid w:val="007A41C8"/>
    <w:rsid w:val="007A54CE"/>
    <w:rsid w:val="007A5D3A"/>
    <w:rsid w:val="007A6FD9"/>
    <w:rsid w:val="007A7FFA"/>
    <w:rsid w:val="007B04EB"/>
    <w:rsid w:val="007B0D4F"/>
    <w:rsid w:val="007B3A5B"/>
    <w:rsid w:val="007B5A3D"/>
    <w:rsid w:val="007B5B95"/>
    <w:rsid w:val="007B6032"/>
    <w:rsid w:val="007B68EA"/>
    <w:rsid w:val="007B7453"/>
    <w:rsid w:val="007C0D25"/>
    <w:rsid w:val="007C152C"/>
    <w:rsid w:val="007C2D89"/>
    <w:rsid w:val="007C4593"/>
    <w:rsid w:val="007C5309"/>
    <w:rsid w:val="007C6069"/>
    <w:rsid w:val="007C6890"/>
    <w:rsid w:val="007D06C4"/>
    <w:rsid w:val="007D1352"/>
    <w:rsid w:val="007D2508"/>
    <w:rsid w:val="007D346A"/>
    <w:rsid w:val="007D6518"/>
    <w:rsid w:val="007D76BD"/>
    <w:rsid w:val="007E0BF1"/>
    <w:rsid w:val="007E3ABE"/>
    <w:rsid w:val="007F0ED8"/>
    <w:rsid w:val="007F0F63"/>
    <w:rsid w:val="007F402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5CE"/>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245"/>
    <w:rsid w:val="00895680"/>
    <w:rsid w:val="00896DFF"/>
    <w:rsid w:val="0089762C"/>
    <w:rsid w:val="008A173B"/>
    <w:rsid w:val="008A1893"/>
    <w:rsid w:val="008A2BA7"/>
    <w:rsid w:val="008A57E6"/>
    <w:rsid w:val="008A6F81"/>
    <w:rsid w:val="008A769A"/>
    <w:rsid w:val="008B0C9C"/>
    <w:rsid w:val="008B166D"/>
    <w:rsid w:val="008B17F4"/>
    <w:rsid w:val="008B3615"/>
    <w:rsid w:val="008B4AC4"/>
    <w:rsid w:val="008B50C8"/>
    <w:rsid w:val="008B5281"/>
    <w:rsid w:val="008B7E05"/>
    <w:rsid w:val="008C0DC3"/>
    <w:rsid w:val="008C1797"/>
    <w:rsid w:val="008C219C"/>
    <w:rsid w:val="008C475E"/>
    <w:rsid w:val="008C619A"/>
    <w:rsid w:val="008D073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87F"/>
    <w:rsid w:val="008F0CDC"/>
    <w:rsid w:val="008F17A3"/>
    <w:rsid w:val="008F1ED3"/>
    <w:rsid w:val="008F4C29"/>
    <w:rsid w:val="008F5D32"/>
    <w:rsid w:val="008F70BD"/>
    <w:rsid w:val="008F788F"/>
    <w:rsid w:val="008F7EA2"/>
    <w:rsid w:val="00902722"/>
    <w:rsid w:val="009027BC"/>
    <w:rsid w:val="009062E6"/>
    <w:rsid w:val="00911BE5"/>
    <w:rsid w:val="00913CA9"/>
    <w:rsid w:val="009145AE"/>
    <w:rsid w:val="009146CE"/>
    <w:rsid w:val="00914CA7"/>
    <w:rsid w:val="00915C3E"/>
    <w:rsid w:val="009161A8"/>
    <w:rsid w:val="0092119E"/>
    <w:rsid w:val="009245AE"/>
    <w:rsid w:val="009245F5"/>
    <w:rsid w:val="009249EC"/>
    <w:rsid w:val="00924DB7"/>
    <w:rsid w:val="009273B3"/>
    <w:rsid w:val="009305B5"/>
    <w:rsid w:val="00933F3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383"/>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A77EF"/>
    <w:rsid w:val="009B0000"/>
    <w:rsid w:val="009B09E0"/>
    <w:rsid w:val="009B0BC5"/>
    <w:rsid w:val="009B1247"/>
    <w:rsid w:val="009B1DEA"/>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5FE"/>
    <w:rsid w:val="00A0096C"/>
    <w:rsid w:val="00A01757"/>
    <w:rsid w:val="00A0181D"/>
    <w:rsid w:val="00A028C0"/>
    <w:rsid w:val="00A02BAE"/>
    <w:rsid w:val="00A02E05"/>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3E6"/>
    <w:rsid w:val="00A57142"/>
    <w:rsid w:val="00A62578"/>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237"/>
    <w:rsid w:val="00AC3A5A"/>
    <w:rsid w:val="00AC4D95"/>
    <w:rsid w:val="00AC5DF4"/>
    <w:rsid w:val="00AD0AEF"/>
    <w:rsid w:val="00AD11B7"/>
    <w:rsid w:val="00AD1A94"/>
    <w:rsid w:val="00AD1C05"/>
    <w:rsid w:val="00AD3B91"/>
    <w:rsid w:val="00AD4126"/>
    <w:rsid w:val="00AD421C"/>
    <w:rsid w:val="00AD44FA"/>
    <w:rsid w:val="00AE070A"/>
    <w:rsid w:val="00AE101C"/>
    <w:rsid w:val="00AE2A69"/>
    <w:rsid w:val="00AE37E5"/>
    <w:rsid w:val="00AE5EB4"/>
    <w:rsid w:val="00AF0C18"/>
    <w:rsid w:val="00AF47C5"/>
    <w:rsid w:val="00AF5398"/>
    <w:rsid w:val="00B049AF"/>
    <w:rsid w:val="00B07242"/>
    <w:rsid w:val="00B07876"/>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6C8"/>
    <w:rsid w:val="00B827A6"/>
    <w:rsid w:val="00B831CE"/>
    <w:rsid w:val="00B86677"/>
    <w:rsid w:val="00B87131"/>
    <w:rsid w:val="00B939B1"/>
    <w:rsid w:val="00B96D40"/>
    <w:rsid w:val="00B97386"/>
    <w:rsid w:val="00BA263B"/>
    <w:rsid w:val="00BA42B2"/>
    <w:rsid w:val="00BA5067"/>
    <w:rsid w:val="00BA58D4"/>
    <w:rsid w:val="00BA5B9E"/>
    <w:rsid w:val="00BA7C9A"/>
    <w:rsid w:val="00BB23AE"/>
    <w:rsid w:val="00BB3AF5"/>
    <w:rsid w:val="00BB5F8F"/>
    <w:rsid w:val="00BB657A"/>
    <w:rsid w:val="00BC1A4E"/>
    <w:rsid w:val="00BC5CDB"/>
    <w:rsid w:val="00BC5DC7"/>
    <w:rsid w:val="00BC6B8B"/>
    <w:rsid w:val="00BC73D8"/>
    <w:rsid w:val="00BD52D7"/>
    <w:rsid w:val="00BD5AD2"/>
    <w:rsid w:val="00BD73AB"/>
    <w:rsid w:val="00BE22F3"/>
    <w:rsid w:val="00BE5B52"/>
    <w:rsid w:val="00BE6302"/>
    <w:rsid w:val="00BE7B8D"/>
    <w:rsid w:val="00BF0993"/>
    <w:rsid w:val="00BF10A9"/>
    <w:rsid w:val="00BF1703"/>
    <w:rsid w:val="00BF231C"/>
    <w:rsid w:val="00BF51E5"/>
    <w:rsid w:val="00BF74A6"/>
    <w:rsid w:val="00C013AD"/>
    <w:rsid w:val="00C04904"/>
    <w:rsid w:val="00C056B3"/>
    <w:rsid w:val="00C0609D"/>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189A"/>
    <w:rsid w:val="00C521D6"/>
    <w:rsid w:val="00C54C75"/>
    <w:rsid w:val="00C55232"/>
    <w:rsid w:val="00C553A4"/>
    <w:rsid w:val="00C55A06"/>
    <w:rsid w:val="00C55D03"/>
    <w:rsid w:val="00C601BC"/>
    <w:rsid w:val="00C6329F"/>
    <w:rsid w:val="00C63340"/>
    <w:rsid w:val="00C643F9"/>
    <w:rsid w:val="00C64E95"/>
    <w:rsid w:val="00C71372"/>
    <w:rsid w:val="00C72410"/>
    <w:rsid w:val="00C7287F"/>
    <w:rsid w:val="00C743B4"/>
    <w:rsid w:val="00C80CB8"/>
    <w:rsid w:val="00C819F8"/>
    <w:rsid w:val="00C8248C"/>
    <w:rsid w:val="00C84E33"/>
    <w:rsid w:val="00C86D6F"/>
    <w:rsid w:val="00C905FC"/>
    <w:rsid w:val="00C92D03"/>
    <w:rsid w:val="00C9319C"/>
    <w:rsid w:val="00C9435D"/>
    <w:rsid w:val="00C94DF2"/>
    <w:rsid w:val="00C96741"/>
    <w:rsid w:val="00CA19B2"/>
    <w:rsid w:val="00CA2D1B"/>
    <w:rsid w:val="00CA375D"/>
    <w:rsid w:val="00CA662A"/>
    <w:rsid w:val="00CA7AFD"/>
    <w:rsid w:val="00CA7C3C"/>
    <w:rsid w:val="00CB0189"/>
    <w:rsid w:val="00CB0BA2"/>
    <w:rsid w:val="00CB1A42"/>
    <w:rsid w:val="00CB1B0C"/>
    <w:rsid w:val="00CB2634"/>
    <w:rsid w:val="00CB2C0B"/>
    <w:rsid w:val="00CB4EBB"/>
    <w:rsid w:val="00CB517D"/>
    <w:rsid w:val="00CC038D"/>
    <w:rsid w:val="00CC08DB"/>
    <w:rsid w:val="00CC39FF"/>
    <w:rsid w:val="00CC3C2F"/>
    <w:rsid w:val="00CC4AC8"/>
    <w:rsid w:val="00CC5233"/>
    <w:rsid w:val="00CC5DE6"/>
    <w:rsid w:val="00CC6E4E"/>
    <w:rsid w:val="00CC6FE8"/>
    <w:rsid w:val="00CC7202"/>
    <w:rsid w:val="00CD2808"/>
    <w:rsid w:val="00CD28BF"/>
    <w:rsid w:val="00CD3DB0"/>
    <w:rsid w:val="00CD4092"/>
    <w:rsid w:val="00CD4A20"/>
    <w:rsid w:val="00CD50A1"/>
    <w:rsid w:val="00CD519E"/>
    <w:rsid w:val="00CE0C4F"/>
    <w:rsid w:val="00CE30EA"/>
    <w:rsid w:val="00CE37E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628"/>
    <w:rsid w:val="00D1489E"/>
    <w:rsid w:val="00D17C10"/>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AF7"/>
    <w:rsid w:val="00D4734F"/>
    <w:rsid w:val="00D51BF3"/>
    <w:rsid w:val="00D533AD"/>
    <w:rsid w:val="00D66846"/>
    <w:rsid w:val="00D675FB"/>
    <w:rsid w:val="00D71F25"/>
    <w:rsid w:val="00D72A9C"/>
    <w:rsid w:val="00D77031"/>
    <w:rsid w:val="00D838B8"/>
    <w:rsid w:val="00D84941"/>
    <w:rsid w:val="00D84FA1"/>
    <w:rsid w:val="00D851F0"/>
    <w:rsid w:val="00D86DB7"/>
    <w:rsid w:val="00D87BF5"/>
    <w:rsid w:val="00D90721"/>
    <w:rsid w:val="00D926D0"/>
    <w:rsid w:val="00D93030"/>
    <w:rsid w:val="00D94FA4"/>
    <w:rsid w:val="00D950E1"/>
    <w:rsid w:val="00D952A6"/>
    <w:rsid w:val="00D97F99"/>
    <w:rsid w:val="00DA1E08"/>
    <w:rsid w:val="00DA24F8"/>
    <w:rsid w:val="00DA28E8"/>
    <w:rsid w:val="00DA38D3"/>
    <w:rsid w:val="00DA392C"/>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2FF"/>
    <w:rsid w:val="00DD25C6"/>
    <w:rsid w:val="00DD4FE5"/>
    <w:rsid w:val="00DD54B0"/>
    <w:rsid w:val="00DD57EE"/>
    <w:rsid w:val="00DD669D"/>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205"/>
    <w:rsid w:val="00E11A85"/>
    <w:rsid w:val="00E12495"/>
    <w:rsid w:val="00E15CCD"/>
    <w:rsid w:val="00E202EF"/>
    <w:rsid w:val="00E210B5"/>
    <w:rsid w:val="00E2552F"/>
    <w:rsid w:val="00E270F9"/>
    <w:rsid w:val="00E3137A"/>
    <w:rsid w:val="00E32CCF"/>
    <w:rsid w:val="00E34A98"/>
    <w:rsid w:val="00E35D1E"/>
    <w:rsid w:val="00E364F9"/>
    <w:rsid w:val="00E365FA"/>
    <w:rsid w:val="00E36789"/>
    <w:rsid w:val="00E439ED"/>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1AB7"/>
    <w:rsid w:val="00E74313"/>
    <w:rsid w:val="00E74C54"/>
    <w:rsid w:val="00E76BE2"/>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0D3"/>
    <w:rsid w:val="00E95D13"/>
    <w:rsid w:val="00E95DD3"/>
    <w:rsid w:val="00E969D5"/>
    <w:rsid w:val="00EA58D1"/>
    <w:rsid w:val="00EA61BC"/>
    <w:rsid w:val="00EA681A"/>
    <w:rsid w:val="00EA735B"/>
    <w:rsid w:val="00EB1E69"/>
    <w:rsid w:val="00EB2086"/>
    <w:rsid w:val="00EB31ED"/>
    <w:rsid w:val="00EB5EDF"/>
    <w:rsid w:val="00EB60FE"/>
    <w:rsid w:val="00EB74DB"/>
    <w:rsid w:val="00EC0FCF"/>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365"/>
    <w:rsid w:val="00F420D5"/>
    <w:rsid w:val="00F451EA"/>
    <w:rsid w:val="00F45447"/>
    <w:rsid w:val="00F456C6"/>
    <w:rsid w:val="00F4577B"/>
    <w:rsid w:val="00F46496"/>
    <w:rsid w:val="00F474D0"/>
    <w:rsid w:val="00F50179"/>
    <w:rsid w:val="00F515EE"/>
    <w:rsid w:val="00F53EFF"/>
    <w:rsid w:val="00F56511"/>
    <w:rsid w:val="00F6194E"/>
    <w:rsid w:val="00F623AC"/>
    <w:rsid w:val="00F6412A"/>
    <w:rsid w:val="00F65893"/>
    <w:rsid w:val="00F66A4A"/>
    <w:rsid w:val="00F71E22"/>
    <w:rsid w:val="00F72142"/>
    <w:rsid w:val="00F72AE7"/>
    <w:rsid w:val="00F833BA"/>
    <w:rsid w:val="00F83406"/>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025"/>
    <w:rsid w:val="00FF71E8"/>
    <w:rsid w:val="00FF730C"/>
    <w:rsid w:val="00FF73F4"/>
    <w:rsid w:val="00FF7CE4"/>
    <w:rsid w:val="00FF7E39"/>
    <w:rsid w:val="977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 w:val="clear" w:pos="710"/>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onfig/qaxbrowser/Default/DownloadCache/qax_XOmJ9F/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69D25372F9417ABEC8B1E63207ED9E"/>
        <w:style w:val=""/>
        <w:category>
          <w:name w:val="常规"/>
          <w:gallery w:val="placeholder"/>
        </w:category>
        <w:types>
          <w:type w:val="bbPlcHdr"/>
        </w:types>
        <w:behaviors>
          <w:behavior w:val="content"/>
        </w:behaviors>
        <w:description w:val=""/>
        <w:guid w:val="{83C1C079-6838-4103-99D5-87F4B2ED134E}"/>
      </w:docPartPr>
      <w:docPartBody>
        <w:p>
          <w:pPr>
            <w:pStyle w:val="5"/>
          </w:pPr>
          <w:r>
            <w:rPr>
              <w:rStyle w:val="4"/>
              <w:rFonts w:hint="eastAsia"/>
            </w:rPr>
            <w:t>单击或点击此处输入文字。</w:t>
          </w:r>
        </w:p>
      </w:docPartBody>
    </w:docPart>
    <w:docPart>
      <w:docPartPr>
        <w:name w:val="9CABB2963E8F44D18C08A2F07017C97E"/>
        <w:style w:val=""/>
        <w:category>
          <w:name w:val="常规"/>
          <w:gallery w:val="placeholder"/>
        </w:category>
        <w:types>
          <w:type w:val="bbPlcHdr"/>
        </w:types>
        <w:behaviors>
          <w:behavior w:val="content"/>
        </w:behaviors>
        <w:description w:val=""/>
        <w:guid w:val="{F808521D-8792-4954-A011-39499F47CB60}"/>
      </w:docPartPr>
      <w:docPartBody>
        <w:p>
          <w:pPr>
            <w:pStyle w:val="6"/>
          </w:pPr>
          <w:r>
            <w:rPr>
              <w:rStyle w:val="4"/>
              <w:rFonts w:hint="eastAsia"/>
            </w:rPr>
            <w:t>选择一项。</w:t>
          </w:r>
        </w:p>
      </w:docPartBody>
    </w:docPart>
    <w:docPart>
      <w:docPartPr>
        <w:name w:val="5F9BA2FF5EF64751ABFC4EAC856FC9BA"/>
        <w:style w:val=""/>
        <w:category>
          <w:name w:val="常规"/>
          <w:gallery w:val="placeholder"/>
        </w:category>
        <w:types>
          <w:type w:val="bbPlcHdr"/>
        </w:types>
        <w:behaviors>
          <w:behavior w:val="content"/>
        </w:behaviors>
        <w:description w:val=""/>
        <w:guid w:val="{D786324C-D4D5-4E31-A846-56FD88E87A5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83"/>
    <w:rsid w:val="00007286"/>
    <w:rsid w:val="00152C82"/>
    <w:rsid w:val="001D7380"/>
    <w:rsid w:val="005A157E"/>
    <w:rsid w:val="00A20783"/>
    <w:rsid w:val="00F4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F69D25372F9417ABEC8B1E63207ED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ABB2963E8F44D18C08A2F07017C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F9BA2FF5EF64751ABFC4EAC856FC9B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Pages>13</Pages>
  <Words>1298</Words>
  <Characters>7399</Characters>
  <Lines>61</Lines>
  <Paragraphs>17</Paragraphs>
  <TotalTime>6763</TotalTime>
  <ScaleCrop>false</ScaleCrop>
  <LinksUpToDate>false</LinksUpToDate>
  <CharactersWithSpaces>8680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2025-06-23T11:19:00Z</dcterms:created>
  <dc:creator>China</dc:creator>
  <cp:lastModifiedBy>lenovo</cp:lastModifiedBy>
  <cp:lastPrinted>2025-06-25T16:02:00Z</cp:lastPrinted>
  <dcterms:modified xsi:type="dcterms:W3CDTF">2025-08-25T10:35:43Z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2052-11.8.2.1121</vt:lpwstr>
  </property>
  <property fmtid="{D5CDD505-2E9C-101B-9397-08002B2CF9AE}" pid="15" name="ICV">
    <vt:lpwstr>D6385A4EF223A804FFCBAB688C976002</vt:lpwstr>
  </property>
</Properties>
</file>