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方正小标宋简体" w:hAnsi="方正小标宋简体" w:eastAsia="方正小标宋简体" w:cs="方正小标宋简体"/>
          <w:color w:val="000000"/>
          <w:kern w:val="0"/>
          <w:sz w:val="36"/>
          <w:szCs w:val="36"/>
          <w:lang w:bidi="ar"/>
        </w:rPr>
      </w:pPr>
      <w:bookmarkStart w:id="3" w:name="_GoBack"/>
      <w:bookmarkEnd w:id="3"/>
      <w:bookmarkStart w:id="0" w:name="OLE_LINK7"/>
      <w:r>
        <w:rPr>
          <w:rFonts w:hint="eastAsia" w:ascii="方正小标宋简体" w:hAnsi="方正小标宋简体" w:eastAsia="方正小标宋简体" w:cs="方正小标宋简体"/>
          <w:color w:val="000000"/>
          <w:kern w:val="0"/>
          <w:sz w:val="36"/>
          <w:szCs w:val="36"/>
          <w:lang w:val="en-US" w:eastAsia="zh-CN" w:bidi="ar"/>
        </w:rPr>
        <w:t>内蒙古标准发展促进会团体标准</w:t>
      </w:r>
      <w:bookmarkEnd w:id="0"/>
      <w:r>
        <w:rPr>
          <w:rFonts w:hint="eastAsia" w:ascii="方正小标宋简体" w:hAnsi="方正小标宋简体" w:eastAsia="方正小标宋简体" w:cs="方正小标宋简体"/>
          <w:color w:val="000000"/>
          <w:kern w:val="0"/>
          <w:sz w:val="36"/>
          <w:szCs w:val="36"/>
          <w:lang w:bidi="ar"/>
        </w:rPr>
        <w:t>《煤化工行业温室气体排放核算与报告要求 第2部分：煤制油企业》</w:t>
      </w:r>
      <w:r>
        <w:rPr>
          <w:rFonts w:ascii="方正小标宋简体" w:hAnsi="方正小标宋简体" w:eastAsia="方正小标宋简体" w:cs="方正小标宋简体"/>
          <w:color w:val="000000"/>
          <w:kern w:val="0"/>
          <w:sz w:val="36"/>
          <w:szCs w:val="36"/>
          <w:lang w:bidi="ar"/>
        </w:rPr>
        <w:t>编制说明</w:t>
      </w:r>
    </w:p>
    <w:p>
      <w:pPr>
        <w:widowControl/>
        <w:spacing w:line="500" w:lineRule="exact"/>
        <w:rPr>
          <w:rFonts w:hint="eastAsia" w:ascii="仿宋_GB2312" w:hAnsi="仿宋_GB2312" w:eastAsia="仿宋_GB2312" w:cs="仿宋_GB2312"/>
          <w:color w:val="000000"/>
          <w:kern w:val="0"/>
          <w:sz w:val="32"/>
          <w:szCs w:val="32"/>
          <w:lang w:bidi="ar"/>
        </w:rPr>
      </w:pPr>
    </w:p>
    <w:p>
      <w:pPr>
        <w:widowControl/>
        <w:spacing w:line="500" w:lineRule="exact"/>
        <w:ind w:firstLine="560" w:firstLineChars="200"/>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一、工作简况</w:t>
      </w:r>
    </w:p>
    <w:p>
      <w:pPr>
        <w:widowControl/>
        <w:numPr>
          <w:ilvl w:val="0"/>
          <w:numId w:val="1"/>
        </w:numPr>
        <w:spacing w:line="500" w:lineRule="exact"/>
        <w:rPr>
          <w:rFonts w:hint="eastAsia" w:ascii="楷体" w:hAnsi="楷体" w:eastAsia="楷体" w:cs="楷体"/>
          <w:b/>
          <w:bCs/>
          <w:color w:val="000000"/>
          <w:kern w:val="0"/>
          <w:sz w:val="28"/>
          <w:szCs w:val="28"/>
          <w:lang w:bidi="ar"/>
        </w:rPr>
      </w:pPr>
      <w:r>
        <w:rPr>
          <w:rFonts w:hint="eastAsia" w:ascii="楷体" w:hAnsi="楷体" w:eastAsia="楷体" w:cs="楷体"/>
          <w:b/>
          <w:bCs/>
          <w:color w:val="000000"/>
          <w:kern w:val="0"/>
          <w:sz w:val="28"/>
          <w:szCs w:val="28"/>
          <w:lang w:val="en-US" w:eastAsia="zh-CN" w:bidi="ar"/>
        </w:rPr>
        <w:t>任务来源</w:t>
      </w:r>
    </w:p>
    <w:p>
      <w:pPr>
        <w:widowControl/>
        <w:spacing w:line="500" w:lineRule="exact"/>
        <w:ind w:firstLine="560" w:firstLineChars="200"/>
        <w:rPr>
          <w:rFonts w:hint="eastAsia" w:ascii="楷体" w:hAnsi="楷体" w:eastAsia="楷体" w:cs="楷体"/>
          <w:b/>
          <w:bCs/>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2025年8月15日，内蒙古标准发展促进会下达《煤化工行业温室气体排放核算与报告要求 第2部分：煤制油企业》团体标准制订项目计划，该标准正式立项。</w:t>
      </w:r>
    </w:p>
    <w:p>
      <w:pPr>
        <w:widowControl/>
        <w:numPr>
          <w:ilvl w:val="0"/>
          <w:numId w:val="1"/>
        </w:numPr>
        <w:spacing w:line="500" w:lineRule="exact"/>
        <w:rPr>
          <w:rFonts w:hint="eastAsia" w:ascii="楷体" w:hAnsi="楷体" w:eastAsia="楷体" w:cs="楷体"/>
          <w:b/>
          <w:bCs/>
          <w:color w:val="000000"/>
          <w:kern w:val="0"/>
          <w:sz w:val="28"/>
          <w:szCs w:val="28"/>
          <w:lang w:bidi="ar"/>
        </w:rPr>
      </w:pPr>
      <w:r>
        <w:rPr>
          <w:rFonts w:hint="eastAsia" w:ascii="楷体" w:hAnsi="楷体" w:eastAsia="楷体" w:cs="楷体"/>
          <w:b/>
          <w:bCs/>
          <w:color w:val="000000"/>
          <w:kern w:val="0"/>
          <w:sz w:val="28"/>
          <w:szCs w:val="28"/>
          <w:lang w:bidi="ar"/>
        </w:rPr>
        <w:t>起草单位</w:t>
      </w:r>
    </w:p>
    <w:p>
      <w:pPr>
        <w:widowControl/>
        <w:spacing w:line="500" w:lineRule="exact"/>
        <w:ind w:firstLine="560" w:firstLineChars="200"/>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bidi="ar"/>
        </w:rPr>
        <w:t>鄂尔多斯市检验检测中心、中国计量大学、鄂尔多斯市碳排放技术服务中心、鄂尔多斯市工业发展促进中心</w:t>
      </w:r>
      <w:r>
        <w:rPr>
          <w:rFonts w:hint="eastAsia" w:ascii="仿宋_GB2312" w:hAnsi="仿宋_GB2312" w:eastAsia="仿宋_GB2312" w:cs="仿宋_GB2312"/>
          <w:color w:val="000000"/>
          <w:kern w:val="0"/>
          <w:sz w:val="28"/>
          <w:szCs w:val="28"/>
          <w:lang w:eastAsia="zh-CN" w:bidi="ar"/>
        </w:rPr>
        <w:t>。</w:t>
      </w:r>
    </w:p>
    <w:p>
      <w:pPr>
        <w:widowControl/>
        <w:numPr>
          <w:ilvl w:val="0"/>
          <w:numId w:val="1"/>
        </w:numPr>
        <w:spacing w:line="500" w:lineRule="exact"/>
        <w:rPr>
          <w:rFonts w:hint="eastAsia" w:ascii="楷体" w:hAnsi="楷体" w:eastAsia="楷体" w:cs="楷体"/>
          <w:b/>
          <w:bCs/>
          <w:color w:val="000000"/>
          <w:kern w:val="0"/>
          <w:sz w:val="28"/>
          <w:szCs w:val="28"/>
          <w:lang w:bidi="ar"/>
        </w:rPr>
      </w:pPr>
      <w:r>
        <w:rPr>
          <w:rFonts w:hint="eastAsia" w:ascii="楷体" w:hAnsi="楷体" w:eastAsia="楷体" w:cs="楷体"/>
          <w:b/>
          <w:bCs/>
          <w:color w:val="000000"/>
          <w:kern w:val="0"/>
          <w:sz w:val="28"/>
          <w:szCs w:val="28"/>
          <w:lang w:bidi="ar"/>
        </w:rPr>
        <w:t>起草人</w:t>
      </w:r>
    </w:p>
    <w:p>
      <w:pPr>
        <w:widowControl/>
        <w:spacing w:line="500" w:lineRule="exact"/>
        <w:ind w:firstLine="560" w:firstLineChars="200"/>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XXX</w:t>
      </w:r>
      <w:r>
        <w:rPr>
          <w:rFonts w:hint="eastAsia" w:ascii="仿宋_GB2312" w:hAnsi="仿宋_GB2312" w:eastAsia="仿宋_GB2312" w:cs="仿宋_GB2312"/>
          <w:color w:val="000000"/>
          <w:kern w:val="0"/>
          <w:sz w:val="28"/>
          <w:szCs w:val="28"/>
          <w:lang w:eastAsia="zh-CN" w:bidi="ar"/>
        </w:rPr>
        <w:t>。</w:t>
      </w:r>
    </w:p>
    <w:p>
      <w:pPr>
        <w:widowControl/>
        <w:spacing w:line="500" w:lineRule="exact"/>
        <w:ind w:firstLine="560" w:firstLineChars="200"/>
        <w:rPr>
          <w:rFonts w:hint="default"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bidi="ar"/>
        </w:rPr>
        <w:t>二、制定标准的</w:t>
      </w:r>
      <w:bookmarkStart w:id="1" w:name="OLE_LINK1"/>
      <w:r>
        <w:rPr>
          <w:rFonts w:hint="eastAsia" w:ascii="黑体" w:hAnsi="黑体" w:eastAsia="黑体" w:cs="黑体"/>
          <w:color w:val="000000"/>
          <w:kern w:val="0"/>
          <w:sz w:val="28"/>
          <w:szCs w:val="28"/>
          <w:lang w:val="en-US" w:eastAsia="zh-CN" w:bidi="ar"/>
        </w:rPr>
        <w:t>必要性、意义及先进性</w:t>
      </w:r>
      <w:bookmarkEnd w:id="1"/>
      <w:r>
        <w:rPr>
          <w:rFonts w:hint="eastAsia" w:ascii="黑体" w:hAnsi="黑体" w:eastAsia="黑体" w:cs="黑体"/>
          <w:color w:val="000000"/>
          <w:kern w:val="0"/>
          <w:sz w:val="28"/>
          <w:szCs w:val="28"/>
          <w:lang w:val="en-US" w:eastAsia="zh-CN" w:bidi="ar"/>
        </w:rPr>
        <w:t>说明</w:t>
      </w:r>
    </w:p>
    <w:p>
      <w:pPr>
        <w:widowControl/>
        <w:spacing w:line="500" w:lineRule="exact"/>
        <w:ind w:firstLine="560" w:firstLineChars="200"/>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制定《煤化工行业温室气体排放核算指南 第2部分: 煤制油企业》地方标准，是响应国家节能减排号召，推动煤化工产业绿色低碳转型的重要举措，其必要性、意义及先进性主要体现在以下几个方面：</w:t>
      </w:r>
    </w:p>
    <w:p>
      <w:pPr>
        <w:widowControl/>
        <w:spacing w:line="500" w:lineRule="exact"/>
        <w:ind w:firstLine="560" w:firstLineChars="200"/>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首先，该标准旨在提供一个统一、规范的核算方法，使煤制油企业能够准确、全面地核算其温室气体排放量。这有助于确保数据的准确性和可比性，为后续的环境管理和减排工作提供坚实基础</w:t>
      </w:r>
      <w:r>
        <w:rPr>
          <w:rFonts w:ascii="Segoe UI" w:hAnsi="Segoe UI" w:eastAsia="Segoe UI" w:cs="Segoe UI"/>
          <w:color w:val="05073B"/>
          <w:sz w:val="22"/>
          <w:shd w:val="clear" w:color="auto" w:fill="FDFDFE"/>
        </w:rPr>
        <w:t>。</w:t>
      </w:r>
      <w:r>
        <w:rPr>
          <w:rFonts w:hint="eastAsia" w:ascii="仿宋_GB2312" w:hAnsi="仿宋_GB2312" w:eastAsia="仿宋_GB2312" w:cs="仿宋_GB2312"/>
          <w:color w:val="000000"/>
          <w:kern w:val="0"/>
          <w:sz w:val="28"/>
          <w:szCs w:val="28"/>
          <w:lang w:bidi="ar"/>
        </w:rPr>
        <w:t>当前，煤化工企业在碳排放核算方面存在流程不统一、数据不准确等问题，这不仅影响了企业对自身碳排放情况的准确掌握，也阻碍了政府和社会对煤化工产业碳排放的有效监管。通过制定这一地方标准，可以明确碳排放核算的具体步骤、方法和要求，确保数据的准确性和可比性，为政府监管、企业自我管理和第三方审核提供可靠依据。</w:t>
      </w:r>
    </w:p>
    <w:p>
      <w:pPr>
        <w:widowControl/>
        <w:spacing w:line="500" w:lineRule="exact"/>
        <w:ind w:firstLine="560" w:firstLineChars="200"/>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其次，通过制定该标准，可以引导煤制油企业加强环境管理，建立健全的温室气体排放监测和报告机制。这有助于企业及时发现环境问题，采取有效措施进行整改，提升企业的环保水平。从而针对性的采取节能减排措施，优化生产工艺，提高能效，降低生产成本。这不仅有助于企业实现经济效益与环境效益的双赢，也有助于提升企业的社会责任感和公众形象。</w:t>
      </w:r>
    </w:p>
    <w:p>
      <w:pPr>
        <w:widowControl/>
        <w:spacing w:line="500" w:lineRule="exact"/>
        <w:ind w:firstLine="560" w:firstLineChars="200"/>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最后，该标准的制定也是推动煤化工产业绿色低碳转型的必然要求。随着全球气候变化和能源转型的深入发展，煤化工产业面临着越来越大的环保压力和转型挑战。通过制定碳排放核算指南，可以引导煤制油企业积极应对气候变化，加快绿色低碳技术的研发和应用，推动产业向高端化、智能化、绿色化方向发展，形成新的经济增长点。</w:t>
      </w:r>
    </w:p>
    <w:p>
      <w:pPr>
        <w:widowControl/>
        <w:spacing w:line="500" w:lineRule="exact"/>
        <w:ind w:firstLine="560" w:firstLineChars="200"/>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综上所述，制定《煤化工行业温室气体排放核算指南 第</w:t>
      </w:r>
      <w:r>
        <w:rPr>
          <w:rFonts w:ascii="Times New Roman" w:hAnsi="Times New Roman" w:eastAsia="仿宋_GB2312" w:cs="Times New Roman"/>
          <w:color w:val="000000"/>
          <w:kern w:val="0"/>
          <w:sz w:val="28"/>
          <w:szCs w:val="28"/>
          <w:lang w:bidi="ar"/>
        </w:rPr>
        <w:t>2</w:t>
      </w:r>
      <w:r>
        <w:rPr>
          <w:rFonts w:hint="eastAsia" w:ascii="仿宋_GB2312" w:hAnsi="仿宋_GB2312" w:eastAsia="仿宋_GB2312" w:cs="仿宋_GB2312"/>
          <w:color w:val="000000"/>
          <w:kern w:val="0"/>
          <w:sz w:val="28"/>
          <w:szCs w:val="28"/>
          <w:lang w:bidi="ar"/>
        </w:rPr>
        <w:t>部分: 煤制油企业》地方标准，对于统一和规范煤制油生产企业的碳排放核算方法、推动煤制油行业的环境管理、推动绿色低碳转型等方面都具有重要意义。</w:t>
      </w:r>
    </w:p>
    <w:p>
      <w:pPr>
        <w:widowControl/>
        <w:spacing w:line="500" w:lineRule="exact"/>
        <w:ind w:firstLine="560" w:firstLineChars="200"/>
        <w:rPr>
          <w:rFonts w:hint="default" w:ascii="黑体" w:hAnsi="黑体" w:eastAsia="黑体" w:cs="黑体"/>
          <w:kern w:val="0"/>
          <w:sz w:val="28"/>
          <w:szCs w:val="28"/>
          <w:lang w:val="en-US" w:eastAsia="zh-CN" w:bidi="ar"/>
        </w:rPr>
      </w:pPr>
      <w:r>
        <w:rPr>
          <w:rFonts w:hint="eastAsia" w:ascii="黑体" w:hAnsi="黑体" w:eastAsia="黑体" w:cs="黑体"/>
          <w:kern w:val="0"/>
          <w:sz w:val="28"/>
          <w:szCs w:val="28"/>
          <w:lang w:bidi="ar"/>
        </w:rPr>
        <w:t>三、</w:t>
      </w:r>
      <w:r>
        <w:rPr>
          <w:rFonts w:hint="eastAsia" w:ascii="黑体" w:hAnsi="黑体" w:eastAsia="黑体" w:cs="黑体"/>
          <w:kern w:val="0"/>
          <w:sz w:val="28"/>
          <w:szCs w:val="28"/>
          <w:lang w:val="en-US" w:eastAsia="zh-CN" w:bidi="ar"/>
        </w:rPr>
        <w:t>主要起草过程</w:t>
      </w:r>
    </w:p>
    <w:p>
      <w:pPr>
        <w:widowControl/>
        <w:spacing w:line="500" w:lineRule="exact"/>
        <w:ind w:firstLine="560" w:firstLineChars="200"/>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鄂尔多斯市检验检测中心承接制定国家级技术规范《煤化工碳计量器具配备和管理规范》和国家市场监管总局计量司软课题之一《煤化工生产企业碳排放计量量值溯源体系建设指南》的编制工作，2023年7月至8月，团队深入鄂尔多斯市18家典型煤化工企业调研，详细了解重点煤化工企业生产工艺、计量技术需求以及温室气体排放现状，完成了重点煤化工产品的碳源流图绘制，以及碳排放相关测量参数量值溯源体系框图；</w:t>
      </w:r>
    </w:p>
    <w:p>
      <w:pPr>
        <w:widowControl/>
        <w:spacing w:line="500" w:lineRule="exact"/>
        <w:ind w:firstLine="560" w:firstLineChars="200"/>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2024年7月至2025年6月，由鄂尔多斯市检验检测中心团队牵头编制的《煤化工行业温室气体排放核算与报告要求》系列标准前三部分——第1部分：煤制甲醇企业/第2部分：煤制油企业/第3部分：煤制烯烃企业，已完成鄂尔多斯市地方标准文本编制、立项、技术审查、报批等流程，由于国家政策变化，不予发布，拟将以上3项标准以团体标准形式发布，按照团标标准要求，编制组进一步对标准文本进行修改完善，形成征求意见稿。</w:t>
      </w:r>
    </w:p>
    <w:p>
      <w:pPr>
        <w:widowControl/>
        <w:spacing w:line="500" w:lineRule="exact"/>
        <w:ind w:firstLine="560" w:firstLineChars="200"/>
        <w:rPr>
          <w:rFonts w:hint="eastAsia" w:ascii="黑体" w:hAnsi="黑体" w:eastAsia="黑体" w:cs="黑体"/>
          <w:kern w:val="0"/>
          <w:sz w:val="28"/>
          <w:szCs w:val="28"/>
          <w:lang w:bidi="ar"/>
        </w:rPr>
      </w:pPr>
      <w:r>
        <w:rPr>
          <w:rFonts w:hint="eastAsia" w:ascii="黑体" w:hAnsi="黑体" w:eastAsia="黑体" w:cs="黑体"/>
          <w:kern w:val="0"/>
          <w:sz w:val="28"/>
          <w:szCs w:val="28"/>
          <w:lang w:bidi="ar"/>
        </w:rPr>
        <w:t>四、制定标准的原则和依据，与现行法律、法规、标准的关系</w:t>
      </w:r>
    </w:p>
    <w:p>
      <w:pPr>
        <w:widowControl/>
        <w:spacing w:line="500" w:lineRule="exact"/>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本标准的编制以 GB/T 1.1-2020《标准化工作导则 第1部分：标准化文件的结构和起草规则》为依据，以科学性、实用性和可操作性为原则，在现有的GB/T 32151.10-2023《温室气体排放核算与报告要求 第10部分：化工生产企业》和《中国化工生产企业温室气体排放核算方法与报告指南（试行）》的指导下，结合新发布的企业温室气体排放核算与报告指南铝冶炼行业、企业温室气体排放核算与报告指南水泥行业和企业温室气体排放核算与报告指南发电设施以及煤制油工艺过程和碳排放实际制定。与现行法律、标准无冲突。</w:t>
      </w:r>
    </w:p>
    <w:p>
      <w:pPr>
        <w:widowControl/>
        <w:spacing w:line="500" w:lineRule="exact"/>
        <w:ind w:firstLine="560" w:firstLineChars="200"/>
        <w:rPr>
          <w:rFonts w:hint="eastAsia" w:ascii="黑体" w:hAnsi="黑体" w:eastAsia="黑体" w:cs="黑体"/>
          <w:kern w:val="0"/>
          <w:sz w:val="28"/>
          <w:szCs w:val="28"/>
          <w:lang w:bidi="ar"/>
        </w:rPr>
      </w:pPr>
      <w:r>
        <w:rPr>
          <w:rFonts w:hint="eastAsia" w:ascii="黑体" w:hAnsi="黑体" w:eastAsia="黑体" w:cs="黑体"/>
          <w:kern w:val="0"/>
          <w:sz w:val="28"/>
          <w:szCs w:val="28"/>
          <w:lang w:bidi="ar"/>
        </w:rPr>
        <w:t>五、主要条款的说明，主要技术指标、参数、试验验证的论述</w:t>
      </w:r>
    </w:p>
    <w:p>
      <w:pPr>
        <w:widowControl/>
        <w:spacing w:line="500" w:lineRule="exact"/>
        <w:ind w:left="420"/>
        <w:rPr>
          <w:rFonts w:hint="eastAsia" w:ascii="楷体" w:hAnsi="楷体" w:eastAsia="楷体" w:cs="楷体"/>
          <w:b/>
          <w:bCs/>
          <w:kern w:val="0"/>
          <w:sz w:val="28"/>
          <w:szCs w:val="28"/>
          <w:lang w:bidi="ar"/>
        </w:rPr>
      </w:pPr>
      <w:r>
        <w:rPr>
          <w:rFonts w:hint="eastAsia" w:ascii="楷体" w:hAnsi="楷体" w:eastAsia="楷体" w:cs="楷体"/>
          <w:b/>
          <w:bCs/>
          <w:kern w:val="0"/>
          <w:sz w:val="28"/>
          <w:szCs w:val="28"/>
          <w:lang w:bidi="ar"/>
        </w:rPr>
        <w:t>（一）范围</w:t>
      </w:r>
    </w:p>
    <w:p>
      <w:pPr>
        <w:overflowPunct w:val="0"/>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通过起草小组查阅文献资料、开展相关调研工作得到的结果，本文件规定了煤制油企业温室气体排放量的核算和报告要求，本文件适用于煤制油企业温室气体排放量的核算与报告，以煤间接液化制油为主营业务的企业可按照本文件提供的方法核算温室气体排放量，并编制企业温室气体排放报告。对于煤制油企业存在发电设施和其他非煤间接液化制油的生产设施，其温室气体排放应按照适用行业的核算与报告指南进行核算与报告。</w:t>
      </w:r>
    </w:p>
    <w:p>
      <w:pPr>
        <w:widowControl/>
        <w:spacing w:line="500" w:lineRule="exact"/>
        <w:ind w:left="420"/>
        <w:rPr>
          <w:rFonts w:hint="eastAsia" w:ascii="楷体" w:hAnsi="楷体" w:eastAsia="楷体" w:cs="楷体"/>
          <w:b/>
          <w:bCs/>
          <w:kern w:val="0"/>
          <w:sz w:val="28"/>
          <w:szCs w:val="28"/>
          <w:lang w:bidi="ar"/>
        </w:rPr>
      </w:pPr>
      <w:r>
        <w:rPr>
          <w:rFonts w:hint="eastAsia" w:ascii="楷体" w:hAnsi="楷体" w:eastAsia="楷体" w:cs="楷体"/>
          <w:b/>
          <w:bCs/>
          <w:kern w:val="0"/>
          <w:sz w:val="28"/>
          <w:szCs w:val="28"/>
          <w:lang w:bidi="ar"/>
        </w:rPr>
        <w:t>（二）术语和定义</w:t>
      </w:r>
    </w:p>
    <w:p>
      <w:pPr>
        <w:widowControl/>
        <w:spacing w:line="500" w:lineRule="exact"/>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确定了温室气体、煤制油、报告主体、活动数据、排放因子、二氧化碳回收利用</w:t>
      </w:r>
      <w:r>
        <w:rPr>
          <w:rFonts w:ascii="Times New Roman" w:hAnsi="Times New Roman" w:eastAsia="仿宋_GB2312" w:cs="Times New Roman"/>
          <w:kern w:val="0"/>
          <w:sz w:val="28"/>
          <w:szCs w:val="28"/>
          <w:lang w:bidi="ar"/>
        </w:rPr>
        <w:t>6</w:t>
      </w:r>
      <w:r>
        <w:rPr>
          <w:rFonts w:hint="eastAsia" w:ascii="仿宋_GB2312" w:hAnsi="仿宋_GB2312" w:eastAsia="仿宋_GB2312" w:cs="仿宋_GB2312"/>
          <w:kern w:val="0"/>
          <w:sz w:val="28"/>
          <w:szCs w:val="28"/>
          <w:lang w:bidi="ar"/>
        </w:rPr>
        <w:t>个关键术语及其定义。</w:t>
      </w:r>
    </w:p>
    <w:p>
      <w:pPr>
        <w:widowControl/>
        <w:spacing w:line="500" w:lineRule="exact"/>
        <w:ind w:left="420"/>
        <w:rPr>
          <w:rFonts w:hint="eastAsia" w:ascii="楷体" w:hAnsi="楷体" w:eastAsia="楷体" w:cs="楷体"/>
          <w:b/>
          <w:bCs/>
          <w:kern w:val="0"/>
          <w:sz w:val="28"/>
          <w:szCs w:val="28"/>
          <w:lang w:bidi="ar"/>
        </w:rPr>
      </w:pPr>
      <w:r>
        <w:rPr>
          <w:rFonts w:hint="eastAsia" w:ascii="楷体" w:hAnsi="楷体" w:eastAsia="楷体" w:cs="楷体"/>
          <w:b/>
          <w:bCs/>
          <w:kern w:val="0"/>
          <w:sz w:val="28"/>
          <w:szCs w:val="28"/>
          <w:lang w:bidi="ar"/>
        </w:rPr>
        <w:t>（三）工作程序和内容</w:t>
      </w:r>
    </w:p>
    <w:p>
      <w:pPr>
        <w:widowControl/>
        <w:spacing w:line="500" w:lineRule="exact"/>
        <w:ind w:firstLine="560" w:firstLineChars="200"/>
        <w:rPr>
          <w:rFonts w:hint="eastAsia" w:ascii="仿宋_GB2312" w:hAnsi="仿宋_GB2312" w:eastAsia="仿宋_GB2312" w:cs="仿宋_GB2312"/>
          <w:kern w:val="0"/>
          <w:sz w:val="28"/>
          <w:szCs w:val="28"/>
          <w:lang w:bidi="ar"/>
        </w:rPr>
      </w:pPr>
      <w:r>
        <w:rPr>
          <w:rFonts w:ascii="仿宋_GB2312" w:hAnsi="仿宋_GB2312" w:eastAsia="仿宋_GB2312" w:cs="仿宋_GB2312"/>
          <w:kern w:val="0"/>
          <w:sz w:val="28"/>
          <w:szCs w:val="28"/>
          <w:lang w:bidi="ar"/>
        </w:rPr>
        <w:t>煤制</w:t>
      </w:r>
      <w:r>
        <w:rPr>
          <w:rFonts w:hint="eastAsia" w:ascii="仿宋_GB2312" w:hAnsi="仿宋_GB2312" w:eastAsia="仿宋_GB2312" w:cs="仿宋_GB2312"/>
          <w:kern w:val="0"/>
          <w:sz w:val="28"/>
          <w:szCs w:val="28"/>
          <w:lang w:bidi="ar"/>
        </w:rPr>
        <w:t>油</w:t>
      </w:r>
      <w:r>
        <w:rPr>
          <w:rFonts w:ascii="仿宋_GB2312" w:hAnsi="仿宋_GB2312" w:eastAsia="仿宋_GB2312" w:cs="仿宋_GB2312"/>
          <w:kern w:val="0"/>
          <w:sz w:val="28"/>
          <w:szCs w:val="28"/>
          <w:lang w:bidi="ar"/>
        </w:rPr>
        <w:t>企业温室气体排放核算和报告工作内容包括核算边界和排放源确定、</w:t>
      </w:r>
      <w:r>
        <w:rPr>
          <w:rFonts w:hint="eastAsia" w:ascii="仿宋_GB2312" w:hAnsi="仿宋_GB2312" w:eastAsia="仿宋_GB2312" w:cs="仿宋_GB2312"/>
          <w:kern w:val="0"/>
          <w:sz w:val="28"/>
          <w:szCs w:val="28"/>
          <w:lang w:bidi="ar"/>
        </w:rPr>
        <w:t>排放核算、排放量计算、定期报告和数据质量管理。</w:t>
      </w:r>
    </w:p>
    <w:p>
      <w:pPr>
        <w:widowControl/>
        <w:spacing w:line="500" w:lineRule="exact"/>
        <w:ind w:left="420"/>
        <w:rPr>
          <w:rFonts w:hint="eastAsia" w:ascii="楷体" w:hAnsi="楷体" w:eastAsia="楷体" w:cs="楷体"/>
          <w:b/>
          <w:bCs/>
          <w:kern w:val="0"/>
          <w:sz w:val="28"/>
          <w:szCs w:val="28"/>
          <w:lang w:bidi="ar"/>
        </w:rPr>
      </w:pPr>
      <w:r>
        <w:rPr>
          <w:rFonts w:hint="eastAsia" w:ascii="楷体" w:hAnsi="楷体" w:eastAsia="楷体" w:cs="楷体"/>
          <w:b/>
          <w:bCs/>
          <w:kern w:val="0"/>
          <w:sz w:val="28"/>
          <w:szCs w:val="28"/>
          <w:lang w:bidi="ar"/>
        </w:rPr>
        <w:t>（四）核算边界及排放源的确定</w:t>
      </w:r>
    </w:p>
    <w:p>
      <w:pPr>
        <w:widowControl/>
        <w:spacing w:line="500" w:lineRule="exact"/>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报告主体是以煤制油为主营业务的法人或视同法人的独立核算单位为边界，温室气体排放核算和报告范围包括主要生产系统、辅助生产系统和附属生产系统产生的温室气体排放。煤制油企业温室气体排放核算和报告的排放源包括化石燃料燃烧排放、原料产生的排放、含碳产品隐含的排放、含碳输出物隐含的排放、二氧化碳回收利用隐含的排放、净购入使用电力产生的排放和净购入使用热力产生的排放。</w:t>
      </w:r>
    </w:p>
    <w:p>
      <w:pPr>
        <w:widowControl/>
        <w:spacing w:line="500" w:lineRule="exact"/>
        <w:ind w:left="420"/>
        <w:rPr>
          <w:rFonts w:hint="eastAsia" w:ascii="楷体" w:hAnsi="楷体" w:eastAsia="楷体" w:cs="楷体"/>
          <w:b/>
          <w:bCs/>
          <w:kern w:val="0"/>
          <w:sz w:val="28"/>
          <w:szCs w:val="28"/>
          <w:lang w:bidi="ar"/>
        </w:rPr>
      </w:pPr>
      <w:r>
        <w:rPr>
          <w:rFonts w:hint="eastAsia" w:ascii="楷体" w:hAnsi="楷体" w:eastAsia="楷体" w:cs="楷体"/>
          <w:b/>
          <w:bCs/>
          <w:kern w:val="0"/>
          <w:sz w:val="28"/>
          <w:szCs w:val="28"/>
          <w:lang w:bidi="ar"/>
        </w:rPr>
        <w:t>（五）煤制油企业碳排放核算要求及排放量计算</w:t>
      </w:r>
    </w:p>
    <w:p>
      <w:pPr>
        <w:widowControl/>
        <w:spacing w:line="500" w:lineRule="exact"/>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给出了各排放源核算要求和数据获取，确定了煤制油企业温室气体排放量总量等于化石燃料燃烧排放，煤制油过程排放，净购入电力和热力排放之和，若企业核算边界内包含二氧化碳回收利用，扣除二氧化碳回收利用量。</w:t>
      </w:r>
    </w:p>
    <w:p>
      <w:pPr>
        <w:widowControl/>
        <w:spacing w:line="500" w:lineRule="exact"/>
        <w:ind w:left="420"/>
        <w:rPr>
          <w:rFonts w:hint="eastAsia" w:ascii="楷体" w:hAnsi="楷体" w:eastAsia="楷体" w:cs="楷体"/>
          <w:b/>
          <w:bCs/>
          <w:kern w:val="0"/>
          <w:sz w:val="28"/>
          <w:szCs w:val="28"/>
          <w:lang w:bidi="ar"/>
        </w:rPr>
      </w:pPr>
      <w:r>
        <w:rPr>
          <w:rFonts w:hint="eastAsia" w:ascii="楷体" w:hAnsi="楷体" w:eastAsia="楷体" w:cs="楷体"/>
          <w:b/>
          <w:bCs/>
          <w:kern w:val="0"/>
          <w:sz w:val="28"/>
          <w:szCs w:val="28"/>
          <w:lang w:bidi="ar"/>
        </w:rPr>
        <w:t>（六）数据质量管理要求</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color w:val="auto"/>
          <w:kern w:val="0"/>
          <w:sz w:val="28"/>
          <w:szCs w:val="28"/>
          <w:highlight w:val="none"/>
          <w:lang w:val="en-US" w:eastAsia="zh-CN" w:bidi="ar"/>
        </w:rPr>
      </w:pPr>
      <w:bookmarkStart w:id="2" w:name="OLE_LINK2"/>
      <w:r>
        <w:rPr>
          <w:rFonts w:hint="eastAsia" w:ascii="仿宋_GB2312" w:hAnsi="仿宋_GB2312" w:eastAsia="仿宋_GB2312" w:cs="仿宋_GB2312"/>
          <w:color w:val="auto"/>
          <w:kern w:val="0"/>
          <w:sz w:val="28"/>
          <w:szCs w:val="28"/>
          <w:highlight w:val="none"/>
          <w:lang w:val="en-US" w:eastAsia="zh-CN" w:bidi="ar"/>
        </w:rPr>
        <w:t>确定了数据质量管理要求的相关内容。具体包括：要求企业制定数据质量控制方案，建立并维护计量器具管理制度与质量保证体系，实施内部台账管理确保数据可追溯，设立内部审核制度确保报告合规；同时规定煤样留存要求与参数选取优先序。建议企业开展排放因子实测支持数据库建设，改进自有实验室管理，推动关键计量器具数据对接国家平台，并建立技术创新机制加强原始数据防篡改管理。</w:t>
      </w:r>
    </w:p>
    <w:bookmarkEnd w:id="2"/>
    <w:p>
      <w:pPr>
        <w:widowControl/>
        <w:spacing w:line="500" w:lineRule="exact"/>
        <w:ind w:left="420"/>
        <w:rPr>
          <w:rFonts w:hint="eastAsia" w:ascii="楷体" w:hAnsi="楷体" w:eastAsia="楷体" w:cs="楷体"/>
          <w:b/>
          <w:bCs/>
          <w:kern w:val="0"/>
          <w:sz w:val="28"/>
          <w:szCs w:val="28"/>
          <w:lang w:bidi="ar"/>
        </w:rPr>
      </w:pPr>
      <w:r>
        <w:rPr>
          <w:rFonts w:hint="eastAsia" w:ascii="楷体" w:hAnsi="楷体" w:eastAsia="楷体" w:cs="楷体"/>
          <w:b/>
          <w:bCs/>
          <w:kern w:val="0"/>
          <w:sz w:val="28"/>
          <w:szCs w:val="28"/>
          <w:lang w:bidi="ar"/>
        </w:rPr>
        <w:t>（七）报告内容和格式</w:t>
      </w:r>
    </w:p>
    <w:p>
      <w:pPr>
        <w:widowControl/>
        <w:spacing w:line="500" w:lineRule="exact"/>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确定了报告的内容和格式，并给出了煤制油企业温室气体排放报告模板。包括概述、报告主体基本情况、温室气体排放情况，活动水平和排放因子数据及来源说明等内容。</w:t>
      </w:r>
    </w:p>
    <w:p>
      <w:pPr>
        <w:widowControl/>
        <w:spacing w:line="500" w:lineRule="exact"/>
        <w:ind w:firstLine="560" w:firstLineChars="200"/>
        <w:rPr>
          <w:rFonts w:hint="eastAsia" w:ascii="黑体" w:hAnsi="黑体" w:eastAsia="黑体" w:cs="黑体"/>
          <w:kern w:val="0"/>
          <w:sz w:val="28"/>
          <w:szCs w:val="28"/>
          <w:lang w:bidi="ar"/>
        </w:rPr>
      </w:pPr>
      <w:r>
        <w:rPr>
          <w:rFonts w:hint="eastAsia" w:ascii="黑体" w:hAnsi="黑体" w:eastAsia="黑体" w:cs="黑体"/>
          <w:kern w:val="0"/>
          <w:sz w:val="28"/>
          <w:szCs w:val="28"/>
          <w:lang w:bidi="ar"/>
        </w:rPr>
        <w:t>六、重大意见分歧的处理依据和结果</w:t>
      </w:r>
    </w:p>
    <w:p>
      <w:pPr>
        <w:widowControl/>
        <w:spacing w:line="500" w:lineRule="exact"/>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无</w:t>
      </w:r>
    </w:p>
    <w:p>
      <w:pPr>
        <w:widowControl/>
        <w:spacing w:line="500" w:lineRule="exact"/>
        <w:ind w:firstLine="560" w:firstLineChars="200"/>
        <w:rPr>
          <w:rFonts w:hint="eastAsia" w:ascii="黑体" w:hAnsi="黑体" w:eastAsia="黑体" w:cs="黑体"/>
          <w:color w:val="0000FF"/>
          <w:kern w:val="0"/>
          <w:sz w:val="28"/>
          <w:szCs w:val="28"/>
          <w:lang w:bidi="ar"/>
        </w:rPr>
      </w:pPr>
      <w:r>
        <w:rPr>
          <w:rFonts w:hint="eastAsia" w:ascii="黑体" w:hAnsi="黑体" w:eastAsia="黑体" w:cs="黑体"/>
          <w:kern w:val="0"/>
          <w:sz w:val="28"/>
          <w:szCs w:val="28"/>
          <w:lang w:bidi="ar"/>
        </w:rPr>
        <w:t>七、采用国际标准或国外先进标准的，说明采标程度，以及国内外同类标准水平的对比情况</w:t>
      </w:r>
    </w:p>
    <w:p>
      <w:pPr>
        <w:widowControl/>
        <w:spacing w:line="500" w:lineRule="exact"/>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无</w:t>
      </w:r>
    </w:p>
    <w:p>
      <w:pPr>
        <w:pStyle w:val="11"/>
        <w:spacing w:line="20" w:lineRule="exact"/>
        <w:ind w:left="0" w:leftChars="0"/>
        <w:jc w:val="center"/>
        <w:rPr>
          <w:rFonts w:hint="eastAsia" w:ascii="方正小标宋简体" w:hAnsi="方正小标宋简体" w:eastAsia="方正小标宋简体" w:cs="方正小标宋简体"/>
          <w:color w:val="0000FF"/>
          <w:sz w:val="36"/>
          <w:szCs w:val="36"/>
          <w:lang w:val="en"/>
        </w:rPr>
      </w:pPr>
    </w:p>
    <w:sectPr>
      <w:headerReference r:id="rId3" w:type="default"/>
      <w:footerReference r:id="rId4" w:type="default"/>
      <w:pgSz w:w="11906" w:h="16838"/>
      <w:pgMar w:top="2098" w:right="1531" w:bottom="198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auto"/>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Segoe UI">
    <w:altName w:val="Noto Naskh Arabic"/>
    <w:panose1 w:val="020B0502040204020203"/>
    <w:charset w:val="00"/>
    <w:family w:val="swiss"/>
    <w:pitch w:val="default"/>
    <w:sig w:usb0="00000000" w:usb1="00000000" w:usb2="00000009" w:usb3="00000000" w:csb0="200001FF" w:csb1="00000000"/>
  </w:font>
  <w:font w:name="Noto Naskh Arabic">
    <w:panose1 w:val="020B0502040504020204"/>
    <w:charset w:val="00"/>
    <w:family w:val="auto"/>
    <w:pitch w:val="default"/>
    <w:sig w:usb0="80002003" w:usb1="80002000" w:usb2="00000008" w:usb3="00000000" w:csb0="00000041" w:csb1="0008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t23LAIAAFU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L0O3bcsAgAAVQQAAA4AAAAAAAAAAQAgAAAANQEAAGRy&#10;cy9lMm9Eb2MueG1sUEsFBgAAAAAGAAYAWQEAANMFAAAAAA==&#10;">
              <v:fill on="f" focussize="0,0"/>
              <v:stroke on="f" weight="0.5pt"/>
              <v:imagedata o:title=""/>
              <o:lock v:ext="edit" aspectratio="f"/>
              <v:textbox inset="0mm,0mm,0mm,0mm" style="mso-fit-shape-to-text:t;">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rPr>
        <w:rFonts w:hint="eastAsia"/>
      </w:rPr>
    </w:pPr>
    <w:r>
      <w:rPr>
        <w:rFonts w:hint="eastAsia"/>
      </w:rPr>
      <w:pict>
        <v:shape id="_x0000_s3073" o:spid="_x0000_s3073" o:spt="136" type="#_x0000_t136" style="position:absolute;left:0pt;margin-left:-79.35pt;margin-top:-107.7pt;height:15.9pt;width:46pt;mso-position-horizontal-relative:margin;mso-position-vertical-relative:margin;rotation:-2949120f;z-index:251659264;mso-width-relative:page;mso-height-relative:page;" fillcolor="#C0C0C0" filled="t" stroked="f" coordsize="21600,21600">
          <v:path/>
          <v:fill on="t" opacity="32768f" focussize="0,0"/>
          <v:stroke on="f"/>
          <v:imagedata o:title=""/>
          <o:lock v:ext="edit" aspectratio="t"/>
          <v:textpath on="t" fitshape="t" fitpath="t" trim="t" xscale="f" string="办公室   " style="font-family:方正小标宋;font-size:15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C22A8E"/>
    <w:multiLevelType w:val="singleLevel"/>
    <w:tmpl w:val="52C22A8E"/>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1YjZhM2JjNWUyNjYwYmZjNzc1MTI2ZDI3NGY1YzgifQ=="/>
  </w:docVars>
  <w:rsids>
    <w:rsidRoot w:val="00715854"/>
    <w:rsid w:val="00014863"/>
    <w:rsid w:val="00015DF8"/>
    <w:rsid w:val="00044B8B"/>
    <w:rsid w:val="00064EF9"/>
    <w:rsid w:val="0007536A"/>
    <w:rsid w:val="000C2D09"/>
    <w:rsid w:val="000C7802"/>
    <w:rsid w:val="00135BDB"/>
    <w:rsid w:val="001878DF"/>
    <w:rsid w:val="002A04F0"/>
    <w:rsid w:val="0039204F"/>
    <w:rsid w:val="003A3A5E"/>
    <w:rsid w:val="003E411B"/>
    <w:rsid w:val="00422692"/>
    <w:rsid w:val="00441FEF"/>
    <w:rsid w:val="004B0189"/>
    <w:rsid w:val="005F7432"/>
    <w:rsid w:val="00635220"/>
    <w:rsid w:val="0064475A"/>
    <w:rsid w:val="00715854"/>
    <w:rsid w:val="00720877"/>
    <w:rsid w:val="00721D60"/>
    <w:rsid w:val="00726D34"/>
    <w:rsid w:val="007C7305"/>
    <w:rsid w:val="007D68DF"/>
    <w:rsid w:val="007F231A"/>
    <w:rsid w:val="00811FE3"/>
    <w:rsid w:val="00815375"/>
    <w:rsid w:val="008275CF"/>
    <w:rsid w:val="00835AA2"/>
    <w:rsid w:val="008411A0"/>
    <w:rsid w:val="00880546"/>
    <w:rsid w:val="00900E46"/>
    <w:rsid w:val="00960CF4"/>
    <w:rsid w:val="00A04AAD"/>
    <w:rsid w:val="00A75DC2"/>
    <w:rsid w:val="00AE71BD"/>
    <w:rsid w:val="00B06BC5"/>
    <w:rsid w:val="00B340A9"/>
    <w:rsid w:val="00B55ADF"/>
    <w:rsid w:val="00B8018C"/>
    <w:rsid w:val="00B85E13"/>
    <w:rsid w:val="00BE3F53"/>
    <w:rsid w:val="00D30FF0"/>
    <w:rsid w:val="00DD1F84"/>
    <w:rsid w:val="00E3156A"/>
    <w:rsid w:val="00E46C00"/>
    <w:rsid w:val="00EF2DA7"/>
    <w:rsid w:val="00F26E1B"/>
    <w:rsid w:val="00F27D88"/>
    <w:rsid w:val="00F7227B"/>
    <w:rsid w:val="00FB0255"/>
    <w:rsid w:val="01167194"/>
    <w:rsid w:val="02332684"/>
    <w:rsid w:val="03F24DB5"/>
    <w:rsid w:val="047D2230"/>
    <w:rsid w:val="04D53301"/>
    <w:rsid w:val="06043E9E"/>
    <w:rsid w:val="06936051"/>
    <w:rsid w:val="06F01AC4"/>
    <w:rsid w:val="075C1AB8"/>
    <w:rsid w:val="086B0594"/>
    <w:rsid w:val="09490827"/>
    <w:rsid w:val="099530C1"/>
    <w:rsid w:val="09DF658F"/>
    <w:rsid w:val="0A2E5772"/>
    <w:rsid w:val="0A31605F"/>
    <w:rsid w:val="0AFD4F98"/>
    <w:rsid w:val="0B1953AE"/>
    <w:rsid w:val="0B4E42C0"/>
    <w:rsid w:val="0BBF451A"/>
    <w:rsid w:val="0C3575B5"/>
    <w:rsid w:val="0C5B3C20"/>
    <w:rsid w:val="0CE3096D"/>
    <w:rsid w:val="0D540C28"/>
    <w:rsid w:val="0DF74FB3"/>
    <w:rsid w:val="0E4C30B0"/>
    <w:rsid w:val="0E895616"/>
    <w:rsid w:val="0E922CFE"/>
    <w:rsid w:val="0EBF6B07"/>
    <w:rsid w:val="0FAE6C29"/>
    <w:rsid w:val="100A6AE1"/>
    <w:rsid w:val="103709CC"/>
    <w:rsid w:val="10F44B0F"/>
    <w:rsid w:val="119E1A82"/>
    <w:rsid w:val="11F0177A"/>
    <w:rsid w:val="122D652B"/>
    <w:rsid w:val="13296F33"/>
    <w:rsid w:val="13AB3BAB"/>
    <w:rsid w:val="13B27223"/>
    <w:rsid w:val="13C35DD4"/>
    <w:rsid w:val="14025795"/>
    <w:rsid w:val="14515DD5"/>
    <w:rsid w:val="145D5492"/>
    <w:rsid w:val="148924C3"/>
    <w:rsid w:val="14EF3F6B"/>
    <w:rsid w:val="150B770D"/>
    <w:rsid w:val="15AA1F63"/>
    <w:rsid w:val="15DC20C9"/>
    <w:rsid w:val="177F5803"/>
    <w:rsid w:val="18761990"/>
    <w:rsid w:val="18805A91"/>
    <w:rsid w:val="18964816"/>
    <w:rsid w:val="195425EF"/>
    <w:rsid w:val="19F279BE"/>
    <w:rsid w:val="1A6E76E0"/>
    <w:rsid w:val="1A6EECE2"/>
    <w:rsid w:val="1B23678E"/>
    <w:rsid w:val="1B8F790E"/>
    <w:rsid w:val="1B8FC398"/>
    <w:rsid w:val="1BBEB1FF"/>
    <w:rsid w:val="1D7252DA"/>
    <w:rsid w:val="1E0D2497"/>
    <w:rsid w:val="1E7B47D1"/>
    <w:rsid w:val="1EA25BAA"/>
    <w:rsid w:val="1F743ACA"/>
    <w:rsid w:val="1F8E6358"/>
    <w:rsid w:val="1FEE2E06"/>
    <w:rsid w:val="1FF370DE"/>
    <w:rsid w:val="1FF389A9"/>
    <w:rsid w:val="1FFE291D"/>
    <w:rsid w:val="20D7585A"/>
    <w:rsid w:val="211664A1"/>
    <w:rsid w:val="211C601C"/>
    <w:rsid w:val="21856B77"/>
    <w:rsid w:val="21E427C7"/>
    <w:rsid w:val="2452638B"/>
    <w:rsid w:val="247619F8"/>
    <w:rsid w:val="24E020B8"/>
    <w:rsid w:val="253C13C7"/>
    <w:rsid w:val="25F5515A"/>
    <w:rsid w:val="269C3827"/>
    <w:rsid w:val="27234C38"/>
    <w:rsid w:val="27652B67"/>
    <w:rsid w:val="27B45F41"/>
    <w:rsid w:val="27DD1EAF"/>
    <w:rsid w:val="27FB439B"/>
    <w:rsid w:val="27FFE13D"/>
    <w:rsid w:val="29726A98"/>
    <w:rsid w:val="29D30045"/>
    <w:rsid w:val="2A0E0B36"/>
    <w:rsid w:val="2A465D61"/>
    <w:rsid w:val="2A7E4AC9"/>
    <w:rsid w:val="2B0F6376"/>
    <w:rsid w:val="2B4661DA"/>
    <w:rsid w:val="2B824F82"/>
    <w:rsid w:val="2CE129E5"/>
    <w:rsid w:val="2D1E0AF2"/>
    <w:rsid w:val="2D3BE3FF"/>
    <w:rsid w:val="2D9B0F13"/>
    <w:rsid w:val="2DC87F69"/>
    <w:rsid w:val="2FAE273E"/>
    <w:rsid w:val="2FEBD82D"/>
    <w:rsid w:val="2FEFBAA4"/>
    <w:rsid w:val="2FFFA829"/>
    <w:rsid w:val="308C7DEB"/>
    <w:rsid w:val="30AD2C03"/>
    <w:rsid w:val="30DDA5CB"/>
    <w:rsid w:val="310444A3"/>
    <w:rsid w:val="311F5BB3"/>
    <w:rsid w:val="31BF39DB"/>
    <w:rsid w:val="31EB151E"/>
    <w:rsid w:val="32A467C3"/>
    <w:rsid w:val="32BB7F7A"/>
    <w:rsid w:val="33512B78"/>
    <w:rsid w:val="34382444"/>
    <w:rsid w:val="3449528F"/>
    <w:rsid w:val="34531500"/>
    <w:rsid w:val="34614638"/>
    <w:rsid w:val="34790D04"/>
    <w:rsid w:val="34AB19B2"/>
    <w:rsid w:val="35175F42"/>
    <w:rsid w:val="35A2027E"/>
    <w:rsid w:val="35AE1167"/>
    <w:rsid w:val="35DE3514"/>
    <w:rsid w:val="35F76DB2"/>
    <w:rsid w:val="36844B09"/>
    <w:rsid w:val="36A27D8A"/>
    <w:rsid w:val="36B87CA7"/>
    <w:rsid w:val="36FD7F0F"/>
    <w:rsid w:val="37667071"/>
    <w:rsid w:val="37D01222"/>
    <w:rsid w:val="37D78D4E"/>
    <w:rsid w:val="37EB84E6"/>
    <w:rsid w:val="38D86A27"/>
    <w:rsid w:val="3906749F"/>
    <w:rsid w:val="3929719C"/>
    <w:rsid w:val="39BF3C29"/>
    <w:rsid w:val="3A1918DE"/>
    <w:rsid w:val="3A701BC0"/>
    <w:rsid w:val="3AF76A8D"/>
    <w:rsid w:val="3B3F5354"/>
    <w:rsid w:val="3B880917"/>
    <w:rsid w:val="3BD3610B"/>
    <w:rsid w:val="3C0C76F7"/>
    <w:rsid w:val="3C6B1655"/>
    <w:rsid w:val="3D881895"/>
    <w:rsid w:val="3D8BF083"/>
    <w:rsid w:val="3DCA6705"/>
    <w:rsid w:val="3DDBD2A9"/>
    <w:rsid w:val="3DF6012D"/>
    <w:rsid w:val="3E040FDF"/>
    <w:rsid w:val="3E663191"/>
    <w:rsid w:val="3E7B5944"/>
    <w:rsid w:val="3F0A1C8E"/>
    <w:rsid w:val="3F5EFAAE"/>
    <w:rsid w:val="3F5FB03A"/>
    <w:rsid w:val="3F6D6A7C"/>
    <w:rsid w:val="3F77512A"/>
    <w:rsid w:val="3F7CDE78"/>
    <w:rsid w:val="3FBFC439"/>
    <w:rsid w:val="3FEF31AC"/>
    <w:rsid w:val="3FEF3A19"/>
    <w:rsid w:val="3FF1545E"/>
    <w:rsid w:val="3FFA328F"/>
    <w:rsid w:val="405121FA"/>
    <w:rsid w:val="426D266F"/>
    <w:rsid w:val="43030357"/>
    <w:rsid w:val="432D21C6"/>
    <w:rsid w:val="433D21EF"/>
    <w:rsid w:val="43840D76"/>
    <w:rsid w:val="439A57FB"/>
    <w:rsid w:val="43DE4A43"/>
    <w:rsid w:val="44830FA7"/>
    <w:rsid w:val="44DC072C"/>
    <w:rsid w:val="44E617C3"/>
    <w:rsid w:val="45042B59"/>
    <w:rsid w:val="47097BFA"/>
    <w:rsid w:val="47DF34BD"/>
    <w:rsid w:val="487A3570"/>
    <w:rsid w:val="49331971"/>
    <w:rsid w:val="493873BA"/>
    <w:rsid w:val="49AD4F98"/>
    <w:rsid w:val="49B7A8D7"/>
    <w:rsid w:val="49D0335C"/>
    <w:rsid w:val="4A9369BF"/>
    <w:rsid w:val="4BE75C16"/>
    <w:rsid w:val="4BF92C41"/>
    <w:rsid w:val="4C5D567B"/>
    <w:rsid w:val="4C701049"/>
    <w:rsid w:val="4C7DCE17"/>
    <w:rsid w:val="4CF01507"/>
    <w:rsid w:val="4CFC3EC0"/>
    <w:rsid w:val="4D4339BB"/>
    <w:rsid w:val="4EC91130"/>
    <w:rsid w:val="4ED11F6E"/>
    <w:rsid w:val="4F2EF7B9"/>
    <w:rsid w:val="4FFF2DFE"/>
    <w:rsid w:val="505A43E8"/>
    <w:rsid w:val="5069334D"/>
    <w:rsid w:val="506B75F1"/>
    <w:rsid w:val="512A5408"/>
    <w:rsid w:val="526E2822"/>
    <w:rsid w:val="527752D0"/>
    <w:rsid w:val="52DC2732"/>
    <w:rsid w:val="535A0AA7"/>
    <w:rsid w:val="535B41EB"/>
    <w:rsid w:val="53BDA016"/>
    <w:rsid w:val="53E67D0C"/>
    <w:rsid w:val="53F72699"/>
    <w:rsid w:val="53FA6385"/>
    <w:rsid w:val="54277373"/>
    <w:rsid w:val="546519C4"/>
    <w:rsid w:val="54C06FE8"/>
    <w:rsid w:val="55026FC5"/>
    <w:rsid w:val="55046EB5"/>
    <w:rsid w:val="557B0928"/>
    <w:rsid w:val="558275C0"/>
    <w:rsid w:val="55C60FF4"/>
    <w:rsid w:val="56561C37"/>
    <w:rsid w:val="570F2ED4"/>
    <w:rsid w:val="57576CEB"/>
    <w:rsid w:val="575D522D"/>
    <w:rsid w:val="57A35B0B"/>
    <w:rsid w:val="57C04DD0"/>
    <w:rsid w:val="57DC0513"/>
    <w:rsid w:val="584B2834"/>
    <w:rsid w:val="584E470C"/>
    <w:rsid w:val="58687403"/>
    <w:rsid w:val="589103E1"/>
    <w:rsid w:val="590F3729"/>
    <w:rsid w:val="597D48A6"/>
    <w:rsid w:val="59A9A311"/>
    <w:rsid w:val="59EBDDD6"/>
    <w:rsid w:val="59EE0717"/>
    <w:rsid w:val="5A1B4488"/>
    <w:rsid w:val="5A5D0118"/>
    <w:rsid w:val="5B3530A7"/>
    <w:rsid w:val="5BF53A61"/>
    <w:rsid w:val="5C796705"/>
    <w:rsid w:val="5C7EAB6C"/>
    <w:rsid w:val="5CDB2CF7"/>
    <w:rsid w:val="5CE749C0"/>
    <w:rsid w:val="5D063262"/>
    <w:rsid w:val="5DE9225C"/>
    <w:rsid w:val="5E821FDD"/>
    <w:rsid w:val="5E89023C"/>
    <w:rsid w:val="5EDB5B2C"/>
    <w:rsid w:val="5F0F7FD7"/>
    <w:rsid w:val="5F675F94"/>
    <w:rsid w:val="5F7379D6"/>
    <w:rsid w:val="5F763DA8"/>
    <w:rsid w:val="5FBB75B7"/>
    <w:rsid w:val="5FEC4CEC"/>
    <w:rsid w:val="5FFF349A"/>
    <w:rsid w:val="607239FA"/>
    <w:rsid w:val="607B578A"/>
    <w:rsid w:val="60B82A30"/>
    <w:rsid w:val="60E33CC9"/>
    <w:rsid w:val="611811A1"/>
    <w:rsid w:val="61750921"/>
    <w:rsid w:val="61967D6C"/>
    <w:rsid w:val="6213421C"/>
    <w:rsid w:val="629A7670"/>
    <w:rsid w:val="62E80C7F"/>
    <w:rsid w:val="631F46D4"/>
    <w:rsid w:val="636FFC34"/>
    <w:rsid w:val="654A3287"/>
    <w:rsid w:val="656F8849"/>
    <w:rsid w:val="65BDDEA8"/>
    <w:rsid w:val="65CE6B0F"/>
    <w:rsid w:val="66604650"/>
    <w:rsid w:val="668C4743"/>
    <w:rsid w:val="66B2632C"/>
    <w:rsid w:val="66D938C3"/>
    <w:rsid w:val="67294261"/>
    <w:rsid w:val="672C79DB"/>
    <w:rsid w:val="6752C25F"/>
    <w:rsid w:val="677D321B"/>
    <w:rsid w:val="67930849"/>
    <w:rsid w:val="67DFC721"/>
    <w:rsid w:val="67F333AF"/>
    <w:rsid w:val="67FB728C"/>
    <w:rsid w:val="67FEA6E2"/>
    <w:rsid w:val="68ECDCE3"/>
    <w:rsid w:val="68F41FE7"/>
    <w:rsid w:val="68F74F4E"/>
    <w:rsid w:val="69164798"/>
    <w:rsid w:val="699B6A4B"/>
    <w:rsid w:val="69FFB754"/>
    <w:rsid w:val="6A117255"/>
    <w:rsid w:val="6A2829D5"/>
    <w:rsid w:val="6BE74410"/>
    <w:rsid w:val="6BEBF393"/>
    <w:rsid w:val="6BF63D37"/>
    <w:rsid w:val="6C4F8E01"/>
    <w:rsid w:val="6C9F0BD6"/>
    <w:rsid w:val="6DFBE2CB"/>
    <w:rsid w:val="6E5F103C"/>
    <w:rsid w:val="6E825130"/>
    <w:rsid w:val="6EAF245C"/>
    <w:rsid w:val="6F3FA178"/>
    <w:rsid w:val="6F8E53E8"/>
    <w:rsid w:val="6FD9EF10"/>
    <w:rsid w:val="6FEE4CFC"/>
    <w:rsid w:val="6FFB1626"/>
    <w:rsid w:val="703AFA14"/>
    <w:rsid w:val="70C61355"/>
    <w:rsid w:val="70DA6EC4"/>
    <w:rsid w:val="7123E4EE"/>
    <w:rsid w:val="713C433D"/>
    <w:rsid w:val="716D5171"/>
    <w:rsid w:val="71BD66D9"/>
    <w:rsid w:val="71D50EB5"/>
    <w:rsid w:val="725A1661"/>
    <w:rsid w:val="725E2806"/>
    <w:rsid w:val="727879B6"/>
    <w:rsid w:val="72802A0B"/>
    <w:rsid w:val="72C373EB"/>
    <w:rsid w:val="72FF2102"/>
    <w:rsid w:val="733F0873"/>
    <w:rsid w:val="735B494B"/>
    <w:rsid w:val="7391335D"/>
    <w:rsid w:val="73963C86"/>
    <w:rsid w:val="739A58AC"/>
    <w:rsid w:val="73FDA070"/>
    <w:rsid w:val="74562EA9"/>
    <w:rsid w:val="748A428C"/>
    <w:rsid w:val="74BF55A7"/>
    <w:rsid w:val="75195E40"/>
    <w:rsid w:val="75D7E7EF"/>
    <w:rsid w:val="75DC241F"/>
    <w:rsid w:val="75FFC0F0"/>
    <w:rsid w:val="76BE5151"/>
    <w:rsid w:val="76CEB857"/>
    <w:rsid w:val="76E07F69"/>
    <w:rsid w:val="76E94B06"/>
    <w:rsid w:val="76FF6AA5"/>
    <w:rsid w:val="774FE12F"/>
    <w:rsid w:val="779078D1"/>
    <w:rsid w:val="77A96FCB"/>
    <w:rsid w:val="77DE30E9"/>
    <w:rsid w:val="77EFB21E"/>
    <w:rsid w:val="77F30DF2"/>
    <w:rsid w:val="77FD57B8"/>
    <w:rsid w:val="788D5CAC"/>
    <w:rsid w:val="79C25D82"/>
    <w:rsid w:val="79DF76C7"/>
    <w:rsid w:val="79FA65DE"/>
    <w:rsid w:val="7A7FF70A"/>
    <w:rsid w:val="7AA02113"/>
    <w:rsid w:val="7AD41DBD"/>
    <w:rsid w:val="7AE78016"/>
    <w:rsid w:val="7AE906E2"/>
    <w:rsid w:val="7B436E63"/>
    <w:rsid w:val="7B8D27AB"/>
    <w:rsid w:val="7BDD87DB"/>
    <w:rsid w:val="7BDE85B5"/>
    <w:rsid w:val="7BDF53A1"/>
    <w:rsid w:val="7BFBA2A2"/>
    <w:rsid w:val="7BFE13EE"/>
    <w:rsid w:val="7C602B53"/>
    <w:rsid w:val="7C8B1164"/>
    <w:rsid w:val="7CC75B6C"/>
    <w:rsid w:val="7CFB584D"/>
    <w:rsid w:val="7CFF5D7E"/>
    <w:rsid w:val="7D0E13E4"/>
    <w:rsid w:val="7D5E796A"/>
    <w:rsid w:val="7D7ED789"/>
    <w:rsid w:val="7D7FA1F6"/>
    <w:rsid w:val="7D97D404"/>
    <w:rsid w:val="7D992FB0"/>
    <w:rsid w:val="7DBF3C45"/>
    <w:rsid w:val="7DE652EF"/>
    <w:rsid w:val="7DFC5DA5"/>
    <w:rsid w:val="7DFD85A4"/>
    <w:rsid w:val="7DFFC89D"/>
    <w:rsid w:val="7DFFF0B3"/>
    <w:rsid w:val="7E672C7A"/>
    <w:rsid w:val="7E6B0C8A"/>
    <w:rsid w:val="7E77CE69"/>
    <w:rsid w:val="7E7D75A4"/>
    <w:rsid w:val="7E941AB6"/>
    <w:rsid w:val="7E993CDF"/>
    <w:rsid w:val="7ED72E85"/>
    <w:rsid w:val="7EE2394A"/>
    <w:rsid w:val="7F044918"/>
    <w:rsid w:val="7F1629A4"/>
    <w:rsid w:val="7F3B27A7"/>
    <w:rsid w:val="7F6FFB31"/>
    <w:rsid w:val="7F7B6E8D"/>
    <w:rsid w:val="7F7CC6E9"/>
    <w:rsid w:val="7F7DF420"/>
    <w:rsid w:val="7FBB4EFF"/>
    <w:rsid w:val="7FBF130E"/>
    <w:rsid w:val="7FDB0ECE"/>
    <w:rsid w:val="7FDF5FE3"/>
    <w:rsid w:val="7FEB13FF"/>
    <w:rsid w:val="7FEFAA7E"/>
    <w:rsid w:val="7FF504F2"/>
    <w:rsid w:val="7FF60AE1"/>
    <w:rsid w:val="7FFBF517"/>
    <w:rsid w:val="7FFE0669"/>
    <w:rsid w:val="7FFEB09B"/>
    <w:rsid w:val="7FFF5FA7"/>
    <w:rsid w:val="8A954505"/>
    <w:rsid w:val="8AB9CB31"/>
    <w:rsid w:val="96EB1273"/>
    <w:rsid w:val="97EFCBFB"/>
    <w:rsid w:val="9A7F3D9E"/>
    <w:rsid w:val="9BFB92A3"/>
    <w:rsid w:val="9EBEB046"/>
    <w:rsid w:val="9EBF1C52"/>
    <w:rsid w:val="9F4FC2D0"/>
    <w:rsid w:val="A5FA74A6"/>
    <w:rsid w:val="A62E1D05"/>
    <w:rsid w:val="AB7FA04C"/>
    <w:rsid w:val="ABDC66DA"/>
    <w:rsid w:val="AD6E50AD"/>
    <w:rsid w:val="AD6FA140"/>
    <w:rsid w:val="AFE93CD4"/>
    <w:rsid w:val="AFE9C90A"/>
    <w:rsid w:val="AFFFB4A9"/>
    <w:rsid w:val="B3ECBA16"/>
    <w:rsid w:val="B3FE36CD"/>
    <w:rsid w:val="B5EBBF2D"/>
    <w:rsid w:val="B6BDCB82"/>
    <w:rsid w:val="B77D5CDA"/>
    <w:rsid w:val="B7BFAC3F"/>
    <w:rsid w:val="B7D76CC0"/>
    <w:rsid w:val="B7EFFE0E"/>
    <w:rsid w:val="B99F895C"/>
    <w:rsid w:val="BAF3F9E7"/>
    <w:rsid w:val="BB3D6F1C"/>
    <w:rsid w:val="BB73C244"/>
    <w:rsid w:val="BBBF0BCA"/>
    <w:rsid w:val="BBDFE0A4"/>
    <w:rsid w:val="BBF71A29"/>
    <w:rsid w:val="BBFFAD76"/>
    <w:rsid w:val="BD774304"/>
    <w:rsid w:val="BDFF61E1"/>
    <w:rsid w:val="BE1E4DC0"/>
    <w:rsid w:val="BEF728DB"/>
    <w:rsid w:val="BF7F5AA4"/>
    <w:rsid w:val="BFFF8BAE"/>
    <w:rsid w:val="BFFF97B5"/>
    <w:rsid w:val="C75C8C09"/>
    <w:rsid w:val="C9BE05BB"/>
    <w:rsid w:val="CE56A7A0"/>
    <w:rsid w:val="CF1BA1DC"/>
    <w:rsid w:val="CFF704DA"/>
    <w:rsid w:val="D23B69D6"/>
    <w:rsid w:val="D5AB535C"/>
    <w:rsid w:val="D636DD31"/>
    <w:rsid w:val="D67E1A3E"/>
    <w:rsid w:val="D7E36007"/>
    <w:rsid w:val="D7FA109F"/>
    <w:rsid w:val="D7FB02DE"/>
    <w:rsid w:val="D7FF7815"/>
    <w:rsid w:val="D7FFE634"/>
    <w:rsid w:val="D96F1EC8"/>
    <w:rsid w:val="D9DC0CAC"/>
    <w:rsid w:val="DB5D6AF3"/>
    <w:rsid w:val="DB7F4505"/>
    <w:rsid w:val="DBB7B43A"/>
    <w:rsid w:val="DBDF98DC"/>
    <w:rsid w:val="DE3FF4A2"/>
    <w:rsid w:val="DE8567CE"/>
    <w:rsid w:val="DEFF60A3"/>
    <w:rsid w:val="DF0E4AD4"/>
    <w:rsid w:val="DF5F17A6"/>
    <w:rsid w:val="DF6F7CEA"/>
    <w:rsid w:val="DF7D7168"/>
    <w:rsid w:val="DFD6C02C"/>
    <w:rsid w:val="DFEF09A6"/>
    <w:rsid w:val="DFEF10BA"/>
    <w:rsid w:val="DFF5821A"/>
    <w:rsid w:val="E19F3CFC"/>
    <w:rsid w:val="E6FEA345"/>
    <w:rsid w:val="E9D30AD9"/>
    <w:rsid w:val="E9D95EC9"/>
    <w:rsid w:val="E9FBE27D"/>
    <w:rsid w:val="E9FF62F7"/>
    <w:rsid w:val="EB6E401B"/>
    <w:rsid w:val="ECACF33C"/>
    <w:rsid w:val="ED3A04EA"/>
    <w:rsid w:val="EDBEF560"/>
    <w:rsid w:val="EDEBF2A3"/>
    <w:rsid w:val="EEDF136A"/>
    <w:rsid w:val="EEFF2C6A"/>
    <w:rsid w:val="EF1F8AE5"/>
    <w:rsid w:val="EF8F6650"/>
    <w:rsid w:val="EF9D029F"/>
    <w:rsid w:val="EFFC6CB2"/>
    <w:rsid w:val="EFFF970F"/>
    <w:rsid w:val="F419D91D"/>
    <w:rsid w:val="F53F4863"/>
    <w:rsid w:val="F5476D87"/>
    <w:rsid w:val="F59BDFAD"/>
    <w:rsid w:val="F5FDEA79"/>
    <w:rsid w:val="F65728CB"/>
    <w:rsid w:val="F7AF2277"/>
    <w:rsid w:val="F7B47F53"/>
    <w:rsid w:val="F7D67E57"/>
    <w:rsid w:val="F7ED87FC"/>
    <w:rsid w:val="F7EF9866"/>
    <w:rsid w:val="F7FFA576"/>
    <w:rsid w:val="F97FF04E"/>
    <w:rsid w:val="F9BFEA62"/>
    <w:rsid w:val="F9EF15B6"/>
    <w:rsid w:val="F9FBEC24"/>
    <w:rsid w:val="FA4E9F8D"/>
    <w:rsid w:val="FABE0A90"/>
    <w:rsid w:val="FB7F521E"/>
    <w:rsid w:val="FBBF1BC5"/>
    <w:rsid w:val="FBD4E209"/>
    <w:rsid w:val="FBDE0C38"/>
    <w:rsid w:val="FBE74F41"/>
    <w:rsid w:val="FBEFA171"/>
    <w:rsid w:val="FBF52CDD"/>
    <w:rsid w:val="FBF99840"/>
    <w:rsid w:val="FBFBB067"/>
    <w:rsid w:val="FCAA118D"/>
    <w:rsid w:val="FCE0FE0B"/>
    <w:rsid w:val="FD5FBE8C"/>
    <w:rsid w:val="FD8CEC16"/>
    <w:rsid w:val="FDF69B4C"/>
    <w:rsid w:val="FDF89A9A"/>
    <w:rsid w:val="FECF978B"/>
    <w:rsid w:val="FEDD3875"/>
    <w:rsid w:val="FEDF317A"/>
    <w:rsid w:val="FEFF7CED"/>
    <w:rsid w:val="FF2F25B9"/>
    <w:rsid w:val="FF55092D"/>
    <w:rsid w:val="FF5DCD7A"/>
    <w:rsid w:val="FF5FA7FB"/>
    <w:rsid w:val="FF6FD62B"/>
    <w:rsid w:val="FF7F37D1"/>
    <w:rsid w:val="FFB7F7C4"/>
    <w:rsid w:val="FFD7937D"/>
    <w:rsid w:val="FFDB7F75"/>
    <w:rsid w:val="FFEE2E08"/>
    <w:rsid w:val="FFEEA05F"/>
    <w:rsid w:val="FFF6C20C"/>
    <w:rsid w:val="FFFB39AC"/>
    <w:rsid w:val="FFFF1768"/>
    <w:rsid w:val="FFFF2BB9"/>
    <w:rsid w:val="FFFF3D88"/>
    <w:rsid w:val="FFFF8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3">
    <w:name w:val="heading 2"/>
    <w:basedOn w:val="1"/>
    <w:next w:val="1"/>
    <w:qFormat/>
    <w:uiPriority w:val="9"/>
    <w:pPr>
      <w:keepNext/>
      <w:keepLines/>
      <w:spacing w:line="413" w:lineRule="auto"/>
      <w:outlineLvl w:val="1"/>
    </w:pPr>
    <w:rPr>
      <w:rFonts w:hint="eastAsia" w:ascii="Arial" w:hAnsi="Arial" w:eastAsia="黑体"/>
      <w:b/>
      <w:sz w:val="32"/>
    </w:rPr>
  </w:style>
  <w:style w:type="paragraph" w:styleId="4">
    <w:name w:val="heading 3"/>
    <w:basedOn w:val="1"/>
    <w:next w:val="1"/>
    <w:link w:val="33"/>
    <w:unhideWhenUsed/>
    <w:qFormat/>
    <w:uiPriority w:val="9"/>
    <w:pPr>
      <w:spacing w:beforeAutospacing="1" w:afterAutospacing="1"/>
      <w:jc w:val="left"/>
      <w:outlineLvl w:val="2"/>
    </w:pPr>
    <w:rPr>
      <w:rFonts w:hint="eastAsia" w:ascii="宋体" w:hAnsi="宋体" w:eastAsia="宋体" w:cs="Times New Roman"/>
      <w:b/>
      <w:color w:val="333333"/>
      <w:kern w:val="0"/>
      <w:sz w:val="24"/>
      <w:szCs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仿宋_GB2312" w:eastAsia="仿宋_GB2312"/>
      <w:sz w:val="30"/>
      <w:szCs w:val="30"/>
    </w:rPr>
  </w:style>
  <w:style w:type="paragraph" w:styleId="6">
    <w:name w:val="Body Text"/>
    <w:basedOn w:val="1"/>
    <w:next w:val="7"/>
    <w:qFormat/>
    <w:uiPriority w:val="0"/>
    <w:pPr>
      <w:spacing w:after="120"/>
    </w:pPr>
  </w:style>
  <w:style w:type="paragraph" w:customStyle="1" w:styleId="7">
    <w:name w:val="正文 A"/>
    <w:next w:val="6"/>
    <w:qFormat/>
    <w:uiPriority w:val="0"/>
    <w:pPr>
      <w:widowControl w:val="0"/>
      <w:jc w:val="both"/>
    </w:pPr>
    <w:rPr>
      <w:rFonts w:ascii="Calibri" w:hAnsi="Calibri" w:eastAsia="Arial Unicode MS" w:cs="Arial Unicode MS"/>
      <w:color w:val="000000"/>
      <w:kern w:val="2"/>
      <w:sz w:val="32"/>
      <w:szCs w:val="32"/>
      <w:lang w:val="en-US" w:eastAsia="zh-CN" w:bidi="ar-SA"/>
    </w:rPr>
  </w:style>
  <w:style w:type="paragraph" w:styleId="8">
    <w:name w:val="Body Text Indent"/>
    <w:basedOn w:val="1"/>
    <w:next w:val="9"/>
    <w:unhideWhenUsed/>
    <w:qFormat/>
    <w:uiPriority w:val="99"/>
    <w:pPr>
      <w:spacing w:after="120"/>
      <w:ind w:left="420" w:leftChars="200"/>
    </w:pPr>
    <w:rPr>
      <w:rFonts w:ascii="Calibri" w:hAnsi="Calibri" w:eastAsia="宋体" w:cs="Times New Roman"/>
      <w:szCs w:val="24"/>
    </w:rPr>
  </w:style>
  <w:style w:type="paragraph" w:styleId="9">
    <w:name w:val="Body Text First Indent 2"/>
    <w:basedOn w:val="8"/>
    <w:next w:val="1"/>
    <w:unhideWhenUsed/>
    <w:qFormat/>
    <w:uiPriority w:val="99"/>
    <w:pPr>
      <w:spacing w:before="100" w:beforeAutospacing="1" w:after="0"/>
      <w:ind w:firstLine="420" w:firstLineChars="200"/>
    </w:pPr>
  </w:style>
  <w:style w:type="paragraph" w:styleId="10">
    <w:name w:val="Plain Text"/>
    <w:basedOn w:val="1"/>
    <w:unhideWhenUsed/>
    <w:qFormat/>
    <w:uiPriority w:val="99"/>
    <w:rPr>
      <w:rFonts w:ascii="宋体" w:hAnsi="Courier New"/>
      <w:szCs w:val="21"/>
    </w:rPr>
  </w:style>
  <w:style w:type="paragraph" w:styleId="11">
    <w:name w:val="Body Text Indent 2"/>
    <w:basedOn w:val="1"/>
    <w:unhideWhenUsed/>
    <w:qFormat/>
    <w:uiPriority w:val="99"/>
    <w:pPr>
      <w:spacing w:before="100" w:beforeAutospacing="1" w:line="480" w:lineRule="auto"/>
      <w:ind w:left="420" w:leftChars="200"/>
    </w:pPr>
  </w:style>
  <w:style w:type="paragraph" w:styleId="12">
    <w:name w:val="footer"/>
    <w:basedOn w:val="1"/>
    <w:link w:val="28"/>
    <w:unhideWhenUsed/>
    <w:qFormat/>
    <w:uiPriority w:val="99"/>
    <w:pPr>
      <w:tabs>
        <w:tab w:val="center" w:pos="4153"/>
        <w:tab w:val="right" w:pos="8306"/>
      </w:tabs>
      <w:snapToGrid w:val="0"/>
      <w:jc w:val="left"/>
    </w:pPr>
    <w:rPr>
      <w:sz w:val="18"/>
      <w:szCs w:val="18"/>
    </w:rPr>
  </w:style>
  <w:style w:type="paragraph" w:styleId="13">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rPr>
      <w:rFonts w:ascii="Calibri" w:hAnsi="Calibri" w:eastAsia="宋体" w:cs="Times New Roman"/>
    </w:rPr>
  </w:style>
  <w:style w:type="paragraph" w:styleId="15">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rPr>
  </w:style>
  <w:style w:type="paragraph" w:styleId="16">
    <w:name w:val="Normal (Web)"/>
    <w:basedOn w:val="1"/>
    <w:qFormat/>
    <w:uiPriority w:val="0"/>
    <w:pPr>
      <w:spacing w:before="100" w:beforeAutospacing="1" w:after="100" w:afterAutospacing="1"/>
      <w:jc w:val="left"/>
    </w:pPr>
    <w:rPr>
      <w:rFonts w:cs="Times New Roman"/>
      <w:kern w:val="0"/>
      <w:sz w:val="24"/>
    </w:rPr>
  </w:style>
  <w:style w:type="paragraph" w:styleId="17">
    <w:name w:val="Title"/>
    <w:basedOn w:val="1"/>
    <w:next w:val="1"/>
    <w:qFormat/>
    <w:uiPriority w:val="0"/>
    <w:pPr>
      <w:spacing w:before="240" w:after="60"/>
      <w:jc w:val="center"/>
      <w:textAlignment w:val="baseline"/>
    </w:pPr>
    <w:rPr>
      <w:rFonts w:ascii="Arial" w:hAnsi="Arial" w:eastAsia="宋体" w:cs="Times New Roman"/>
      <w:b/>
      <w:sz w:val="32"/>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unhideWhenUsed/>
    <w:qFormat/>
    <w:uiPriority w:val="99"/>
  </w:style>
  <w:style w:type="character" w:styleId="23">
    <w:name w:val="Hyperlink"/>
    <w:unhideWhenUsed/>
    <w:qFormat/>
    <w:uiPriority w:val="99"/>
    <w:rPr>
      <w:rFonts w:ascii="Calibri" w:hAnsi="Calibri" w:eastAsia="宋体" w:cs="Times New Roman"/>
      <w:color w:val="0000FF"/>
      <w:u w:val="single"/>
    </w:rPr>
  </w:style>
  <w:style w:type="paragraph" w:customStyle="1" w:styleId="24">
    <w:name w:val="NormalIndent"/>
    <w:basedOn w:val="1"/>
    <w:qFormat/>
    <w:uiPriority w:val="0"/>
    <w:pPr>
      <w:ind w:firstLine="420" w:firstLineChars="200"/>
    </w:pPr>
    <w:rPr>
      <w:kern w:val="0"/>
    </w:rPr>
  </w:style>
  <w:style w:type="paragraph" w:customStyle="1" w:styleId="25">
    <w:name w:val="列表段落1"/>
    <w:basedOn w:val="1"/>
    <w:qFormat/>
    <w:uiPriority w:val="34"/>
    <w:pPr>
      <w:ind w:firstLine="420" w:firstLineChars="200"/>
    </w:pPr>
  </w:style>
  <w:style w:type="paragraph" w:customStyle="1" w:styleId="26">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7">
    <w:name w:val="页眉 字符"/>
    <w:basedOn w:val="20"/>
    <w:link w:val="13"/>
    <w:qFormat/>
    <w:uiPriority w:val="99"/>
    <w:rPr>
      <w:sz w:val="18"/>
      <w:szCs w:val="18"/>
    </w:rPr>
  </w:style>
  <w:style w:type="character" w:customStyle="1" w:styleId="28">
    <w:name w:val="页脚 字符"/>
    <w:basedOn w:val="20"/>
    <w:link w:val="12"/>
    <w:qFormat/>
    <w:uiPriority w:val="99"/>
    <w:rPr>
      <w:sz w:val="18"/>
      <w:szCs w:val="18"/>
    </w:rPr>
  </w:style>
  <w:style w:type="paragraph" w:customStyle="1" w:styleId="29">
    <w:name w:val="UserStyle_0"/>
    <w:basedOn w:val="1"/>
    <w:qFormat/>
    <w:uiPriority w:val="0"/>
    <w:pPr>
      <w:ind w:firstLine="420" w:firstLineChars="200"/>
      <w:textAlignment w:val="baseline"/>
    </w:pPr>
    <w:rPr>
      <w:rFonts w:ascii="Calibri" w:hAnsi="Calibri"/>
      <w:kern w:val="0"/>
      <w:szCs w:val="24"/>
    </w:rPr>
  </w:style>
  <w:style w:type="paragraph" w:customStyle="1" w:styleId="30">
    <w:name w:val="列出段落1"/>
    <w:basedOn w:val="1"/>
    <w:qFormat/>
    <w:uiPriority w:val="34"/>
    <w:pPr>
      <w:ind w:firstLine="420" w:firstLineChars="200"/>
    </w:pPr>
  </w:style>
  <w:style w:type="paragraph" w:customStyle="1" w:styleId="31">
    <w:name w:val="p0"/>
    <w:basedOn w:val="1"/>
    <w:qFormat/>
    <w:uiPriority w:val="0"/>
    <w:pPr>
      <w:widowControl/>
    </w:pPr>
    <w:rPr>
      <w:rFonts w:cs="宋体"/>
      <w:kern w:val="0"/>
      <w:szCs w:val="21"/>
    </w:rPr>
  </w:style>
  <w:style w:type="paragraph" w:customStyle="1" w:styleId="32">
    <w:name w:val="p15"/>
    <w:basedOn w:val="1"/>
    <w:qFormat/>
    <w:uiPriority w:val="0"/>
    <w:pPr>
      <w:widowControl/>
      <w:jc w:val="left"/>
    </w:pPr>
    <w:rPr>
      <w:rFonts w:ascii="宋体" w:hAnsi="宋体" w:cs="宋体"/>
      <w:kern w:val="0"/>
      <w:sz w:val="22"/>
    </w:rPr>
  </w:style>
  <w:style w:type="character" w:customStyle="1" w:styleId="33">
    <w:name w:val="标题 3 字符"/>
    <w:link w:val="4"/>
    <w:qFormat/>
    <w:uiPriority w:val="0"/>
    <w:rPr>
      <w:rFonts w:hint="eastAsia" w:ascii="宋体" w:hAnsi="宋体" w:eastAsia="宋体" w:cs="宋体"/>
      <w:b/>
      <w:color w:val="333333"/>
      <w:kern w:val="0"/>
      <w:sz w:val="24"/>
      <w:szCs w:val="24"/>
      <w:lang w:val="en-US" w:eastAsia="zh-CN" w:bidi="ar"/>
    </w:rPr>
  </w:style>
  <w:style w:type="character" w:customStyle="1" w:styleId="34">
    <w:name w:val="font01"/>
    <w:basedOn w:val="20"/>
    <w:qFormat/>
    <w:uiPriority w:val="0"/>
    <w:rPr>
      <w:rFonts w:ascii="方正书宋_GBK" w:hAnsi="方正书宋_GBK" w:eastAsia="方正书宋_GBK" w:cs="方正书宋_GBK"/>
      <w:color w:val="000000"/>
      <w:sz w:val="22"/>
      <w:szCs w:val="22"/>
      <w:u w:val="none"/>
    </w:rPr>
  </w:style>
  <w:style w:type="character" w:customStyle="1" w:styleId="35">
    <w:name w:val="font61"/>
    <w:basedOn w:val="20"/>
    <w:qFormat/>
    <w:uiPriority w:val="0"/>
    <w:rPr>
      <w:rFonts w:hint="eastAsia" w:ascii="仿宋_GB2312" w:eastAsia="仿宋_GB2312" w:cs="仿宋_GB2312"/>
      <w:color w:val="000000"/>
      <w:sz w:val="22"/>
      <w:szCs w:val="22"/>
      <w:u w:val="none"/>
    </w:rPr>
  </w:style>
  <w:style w:type="character" w:customStyle="1" w:styleId="36">
    <w:name w:val="NormalCharacter"/>
    <w:semiHidden/>
    <w:qFormat/>
    <w:uiPriority w:val="0"/>
  </w:style>
  <w:style w:type="paragraph" w:customStyle="1" w:styleId="37">
    <w:name w:val="BodyText2"/>
    <w:basedOn w:val="1"/>
    <w:qFormat/>
    <w:uiPriority w:val="0"/>
    <w:pPr>
      <w:spacing w:after="120" w:line="480" w:lineRule="auto"/>
      <w:textAlignment w:val="baseline"/>
    </w:pPr>
    <w:rPr>
      <w:rFonts w:eastAsia="宋体"/>
      <w:sz w:val="32"/>
      <w:szCs w:val="32"/>
    </w:rPr>
  </w:style>
  <w:style w:type="paragraph" w:customStyle="1" w:styleId="38">
    <w:name w:val="封面标准英文名称"/>
    <w:basedOn w:val="1"/>
    <w:qFormat/>
    <w:uiPriority w:val="99"/>
    <w:pPr>
      <w:spacing w:before="370" w:line="400" w:lineRule="exact"/>
      <w:jc w:val="center"/>
    </w:pPr>
    <w:rPr>
      <w:rFonts w:eastAsia="黑体"/>
      <w:kern w:val="0"/>
      <w:sz w:val="28"/>
      <w:szCs w:val="28"/>
    </w:rPr>
  </w:style>
  <w:style w:type="paragraph" w:customStyle="1" w:styleId="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630</Words>
  <Characters>3593</Characters>
  <Lines>29</Lines>
  <Paragraphs>8</Paragraphs>
  <TotalTime>1</TotalTime>
  <ScaleCrop>false</ScaleCrop>
  <LinksUpToDate>false</LinksUpToDate>
  <CharactersWithSpaces>4215</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2021-05-24T08:56:00Z</dcterms:created>
  <dc:creator>Administrator</dc:creator>
  <cp:lastModifiedBy>lenovo</cp:lastModifiedBy>
  <cp:lastPrinted>2023-03-25T20:41:00Z</cp:lastPrinted>
  <dcterms:modified xsi:type="dcterms:W3CDTF">2025-08-25T11:38:59Z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A0DBC9BBC91B7E17D3DAAB68BBF98655</vt:lpwstr>
  </property>
</Properties>
</file>