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D36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BF572A1">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523B6FA4">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67.120.10</w:t>
            </w:r>
            <w:r>
              <w:rPr>
                <w:rFonts w:ascii="黑体" w:hAnsi="黑体" w:eastAsia="黑体"/>
                <w:sz w:val="21"/>
                <w:szCs w:val="21"/>
              </w:rPr>
              <w:fldChar w:fldCharType="end"/>
            </w:r>
            <w:bookmarkEnd w:id="0"/>
          </w:p>
        </w:tc>
      </w:tr>
      <w:tr w14:paraId="1E0B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9BCCC51">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58E0BF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AF71FDB">
                  <w:pPr>
                    <w:pStyle w:val="53"/>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rFonts w:hint="eastAsia"/>
                    </w:rPr>
                    <w:t>XXXX</w:t>
                  </w:r>
                </w:p>
              </w:tc>
            </w:tr>
          </w:tbl>
          <w:p w14:paraId="556EFDC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X22</w:t>
            </w:r>
          </w:p>
        </w:tc>
      </w:tr>
    </w:tbl>
    <w:p w14:paraId="2D912778">
      <w:pPr>
        <w:pStyle w:val="54"/>
        <w:framePr w:w="9639" w:h="624" w:hRule="exact" w:hSpace="181" w:vSpace="181" w:wrap="around" w:hAnchor="page" w:x="1305" w:y="2269"/>
        <w:rPr>
          <w:rFonts w:ascii="黑体" w:hAnsi="黑体" w:eastAsia="黑体"/>
          <w:b w:val="0"/>
          <w:bCs w:val="0"/>
          <w:w w:val="100"/>
          <w:sz w:val="48"/>
          <w:szCs w:val="48"/>
        </w:rPr>
      </w:pPr>
      <w:bookmarkStart w:id="1" w:name="_Hlk26473981"/>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内蒙古标准发展促进会</w:t>
      </w:r>
      <w:r>
        <w:rPr>
          <w:rFonts w:ascii="黑体" w:eastAsia="黑体"/>
          <w:b w:val="0"/>
          <w:w w:val="100"/>
          <w:sz w:val="48"/>
        </w:rPr>
        <w:fldChar w:fldCharType="end"/>
      </w:r>
      <w:bookmarkEnd w:id="2"/>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14:paraId="34A3E922">
      <w:pPr>
        <w:pStyle w:val="199"/>
        <w:rPr>
          <w:rFonts w:hAnsi="黑体"/>
        </w:rPr>
      </w:pPr>
      <w:r>
        <w:rPr>
          <w:rFonts w:hint="eastAsia" w:hAnsi="黑体"/>
        </w:rPr>
        <w:t>T/XXX.XXXX</w:t>
      </w:r>
      <w:r>
        <w:rPr>
          <w:rFonts w:hAnsi="黑体"/>
        </w:rPr>
        <w:t>—</w:t>
      </w:r>
      <w:r>
        <w:rPr>
          <w:rFonts w:hint="eastAsia" w:hAnsi="黑体"/>
        </w:rPr>
        <w:t>XXXX</w:t>
      </w:r>
    </w:p>
    <w:p w14:paraId="0F337C38">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45313308">
      <w:pPr>
        <w:pStyle w:val="54"/>
        <w:framePr w:w="9639" w:h="6976" w:hRule="exact" w:hSpace="0" w:vSpace="0" w:wrap="around" w:hAnchor="page" w:y="6408"/>
        <w:jc w:val="center"/>
        <w:rPr>
          <w:rFonts w:ascii="黑体" w:hAnsi="黑体" w:eastAsia="黑体"/>
          <w:b w:val="0"/>
          <w:bCs w:val="0"/>
          <w:w w:val="100"/>
        </w:rPr>
      </w:pPr>
    </w:p>
    <w:p w14:paraId="0B7F86B6">
      <w:pPr>
        <w:pStyle w:val="201"/>
        <w:framePr w:h="6974" w:hRule="exact" w:wrap="around" w:x="1419" w:anchorLock="1"/>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rPr>
          <w:rFonts w:hint="eastAsia"/>
        </w:rPr>
        <w:t>鄂尔多斯细毛羊肉</w:t>
      </w:r>
      <w:r>
        <w:fldChar w:fldCharType="end"/>
      </w:r>
      <w:bookmarkEnd w:id="3"/>
    </w:p>
    <w:p w14:paraId="365FAE90">
      <w:pPr>
        <w:pStyle w:val="129"/>
        <w:framePr w:w="9639" w:h="6974" w:hRule="exact" w:wrap="around" w:vAnchor="page" w:hAnchor="page" w:x="1419" w:y="6408" w:anchorLock="1"/>
        <w:textAlignment w:val="bottom"/>
        <w:rPr>
          <w:rFonts w:eastAsia="黑体"/>
          <w:szCs w:val="28"/>
        </w:rPr>
      </w:pPr>
    </w:p>
    <w:p w14:paraId="0FB897DE">
      <w:pPr>
        <w:pStyle w:val="129"/>
        <w:framePr w:w="9639" w:h="6974" w:hRule="exact" w:wrap="around" w:vAnchor="page" w:hAnchor="page" w:x="1419" w:y="6408" w:anchorLock="1"/>
        <w:textAlignment w:val="bottom"/>
        <w:rPr>
          <w:sz w:val="21"/>
          <w:szCs w:val="28"/>
        </w:rPr>
      </w:pPr>
      <w:r>
        <w:rPr>
          <w:rFonts w:hint="eastAsia" w:ascii="黑体" w:hAnsi="黑体" w:eastAsia="黑体" w:cs="黑体"/>
          <w:szCs w:val="28"/>
        </w:rPr>
        <w:t xml:space="preserve">Ordos </w:t>
      </w: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 xml:space="preserve">Fine-wool Sheep Meat </w:t>
      </w:r>
      <w:r>
        <w:rPr>
          <w:rFonts w:hint="eastAsia" w:ascii="黑体" w:hAnsi="黑体" w:eastAsia="黑体" w:cs="黑体"/>
          <w:szCs w:val="28"/>
        </w:rPr>
        <w:fldChar w:fldCharType="end"/>
      </w:r>
    </w:p>
    <w:p w14:paraId="37A6D30D">
      <w:pPr>
        <w:pStyle w:val="197"/>
        <w:framePr w:wrap="around" w:y="14176"/>
      </w:pPr>
      <w:r>
        <w:rPr>
          <w:rFonts w:hint="eastAsia" w:ascii="黑体"/>
        </w:rPr>
        <w:t>20XX-XX-XX发布</w:t>
      </w:r>
    </w:p>
    <w:p w14:paraId="15FB646E">
      <w:pPr>
        <w:pStyle w:val="198"/>
        <w:framePr w:wrap="around" w:y="14176"/>
      </w:pPr>
      <w:r>
        <w:rPr>
          <w:rFonts w:hint="eastAsia" w:ascii="黑体"/>
        </w:rPr>
        <w:t>20XX-XX-XX实施</w:t>
      </w:r>
    </w:p>
    <w:p w14:paraId="6848871B">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4" w:name="fm"/>
      <w:r>
        <w:rPr>
          <w:rFonts w:hAnsi="黑体"/>
          <w:w w:val="100"/>
          <w:sz w:val="28"/>
        </w:rPr>
        <w:instrText xml:space="preserve"> FORMTEXT </w:instrText>
      </w:r>
      <w:r>
        <w:rPr>
          <w:rFonts w:hAnsi="黑体"/>
          <w:w w:val="100"/>
          <w:sz w:val="28"/>
        </w:rPr>
        <w:fldChar w:fldCharType="separate"/>
      </w:r>
      <w:r>
        <w:rPr>
          <w:rFonts w:hint="eastAsia" w:hAnsi="黑体"/>
          <w:w w:val="100"/>
          <w:sz w:val="28"/>
        </w:rPr>
        <w:t>内蒙古标准发展促进会</w:t>
      </w:r>
      <w:r>
        <w:rPr>
          <w:rFonts w:hAnsi="黑体"/>
          <w:w w:val="100"/>
          <w:sz w:val="28"/>
        </w:rPr>
        <w:fldChar w:fldCharType="end"/>
      </w:r>
      <w:bookmarkEnd w:id="4"/>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41740B0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1BD7B475">
      <w:pPr>
        <w:pStyle w:val="93"/>
        <w:spacing w:after="360"/>
      </w:pPr>
      <w:bookmarkStart w:id="5" w:name="BookMark2"/>
      <w:r>
        <w:rPr>
          <w:spacing w:val="320"/>
        </w:rPr>
        <w:t>前</w:t>
      </w:r>
      <w:r>
        <w:t>言</w:t>
      </w:r>
    </w:p>
    <w:p w14:paraId="3D32A6B9">
      <w:pPr>
        <w:pStyle w:val="60"/>
        <w:ind w:firstLine="420"/>
      </w:pPr>
      <w:r>
        <w:rPr>
          <w:rFonts w:hint="eastAsia"/>
        </w:rPr>
        <w:t>本文件按照GB/T 1.1—2020《标准化工作导则  第1部分：标准化文件的结构和起草规则》的规定起草。</w:t>
      </w:r>
    </w:p>
    <w:p w14:paraId="5B32E637">
      <w:pPr>
        <w:pStyle w:val="136"/>
        <w:ind w:left="425" w:firstLine="0"/>
      </w:pPr>
      <w:r>
        <w:rPr>
          <w:rFonts w:hint="eastAsia"/>
        </w:rPr>
        <w:t>本文件由内蒙古标准发展促进会提出并归口。</w:t>
      </w:r>
    </w:p>
    <w:bookmarkEnd w:id="5"/>
    <w:p w14:paraId="4AB6B21B">
      <w:pPr>
        <w:pStyle w:val="60"/>
        <w:ind w:firstLine="420"/>
      </w:pPr>
      <w:bookmarkStart w:id="6" w:name="BookMark4"/>
      <w:r>
        <w:rPr>
          <w:rFonts w:hint="eastAsia"/>
        </w:rPr>
        <w:t>本文件起草单位：内蒙古自治区质量和标准化研究院、鄂尔多斯市农畜产品质量安全中心、</w:t>
      </w:r>
      <w:r>
        <w:rPr>
          <w:rFonts w:hint="eastAsia"/>
          <w:lang w:val="en-US" w:eastAsia="zh-CN"/>
        </w:rPr>
        <w:t>内蒙古农业大学、内蒙古自治区产品质量检验研究院、</w:t>
      </w:r>
      <w:r>
        <w:rPr>
          <w:rFonts w:hint="eastAsia"/>
        </w:rPr>
        <w:t>乌审旗农牧局、呼和浩特市农牧技术推广中心。</w:t>
      </w:r>
    </w:p>
    <w:p w14:paraId="5DDBA5C0">
      <w:pPr>
        <w:pStyle w:val="60"/>
        <w:ind w:firstLine="420"/>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linePitch="312" w:charSpace="0"/>
        </w:sectPr>
      </w:pPr>
      <w:r>
        <w:rPr>
          <w:rFonts w:hint="eastAsia"/>
        </w:rPr>
        <w:t>本文件主要起草人：敖其尔、段斌、要铎、贾向春、</w:t>
      </w:r>
      <w:r>
        <w:rPr>
          <w:rFonts w:hint="eastAsia"/>
          <w:color w:val="auto"/>
          <w:lang w:val="en-US" w:eastAsia="zh-CN"/>
        </w:rPr>
        <w:t>赵丽华、闫鑫磊、</w:t>
      </w:r>
      <w:r>
        <w:rPr>
          <w:rFonts w:hint="eastAsia"/>
        </w:rPr>
        <w:t>邱鹏程、</w:t>
      </w:r>
      <w:r>
        <w:rPr>
          <w:rFonts w:hint="eastAsia"/>
          <w:lang w:val="en-US" w:eastAsia="zh-CN"/>
        </w:rPr>
        <w:t>赵雅娟、</w:t>
      </w:r>
      <w:r>
        <w:rPr>
          <w:rFonts w:hint="eastAsia"/>
        </w:rPr>
        <w:t>王美秀、李霞、曹文军、华晓青、孙凤舞、斯琴、马媛莉</w:t>
      </w:r>
      <w:r>
        <w:rPr>
          <w:rFonts w:hint="eastAsia"/>
          <w:lang w:eastAsia="zh-CN"/>
        </w:rPr>
        <w:t>、</w:t>
      </w:r>
      <w:r>
        <w:rPr>
          <w:rFonts w:hint="eastAsia"/>
        </w:rPr>
        <w:t>石诚泰、于婷婷、刘婷璐、高敏、杨雅钧、刘俊梅、李志华、刘茂荣、杨燕峰。</w:t>
      </w:r>
      <w:bookmarkStart w:id="40" w:name="_GoBack"/>
      <w:bookmarkEnd w:id="40"/>
    </w:p>
    <w:p w14:paraId="4E729ED3">
      <w:pPr>
        <w:spacing w:line="20" w:lineRule="exact"/>
        <w:jc w:val="center"/>
        <w:rPr>
          <w:rFonts w:ascii="黑体" w:hAnsi="黑体" w:eastAsia="黑体"/>
          <w:sz w:val="32"/>
          <w:szCs w:val="32"/>
        </w:rPr>
      </w:pPr>
    </w:p>
    <w:p w14:paraId="1E43E9F5">
      <w:pPr>
        <w:spacing w:line="20" w:lineRule="exact"/>
        <w:jc w:val="center"/>
        <w:rPr>
          <w:rFonts w:ascii="黑体" w:hAnsi="黑体" w:eastAsia="黑体"/>
          <w:sz w:val="32"/>
          <w:szCs w:val="32"/>
        </w:rPr>
      </w:pPr>
    </w:p>
    <w:sdt>
      <w:sdtPr>
        <w:tag w:val="NEW_STAND_NAME"/>
        <w:id w:val="595910757"/>
        <w:lock w:val="sdtLocked"/>
        <w:placeholder>
          <w:docPart w:val="D3251970A4EC4BD9A0DA3B2AE9298E2F"/>
        </w:placeholder>
      </w:sdtPr>
      <w:sdtContent>
        <w:p w14:paraId="2E7325A9">
          <w:pPr>
            <w:pStyle w:val="181"/>
            <w:spacing w:before="240" w:beforeLines="100" w:after="2" w:afterLines="1"/>
          </w:pPr>
          <w:bookmarkStart w:id="7" w:name="NEW_STAND_NAME"/>
          <w:r>
            <w:rPr>
              <w:rFonts w:hint="eastAsia"/>
            </w:rPr>
            <w:t>鄂尔多斯细毛羊肉</w:t>
          </w:r>
        </w:p>
      </w:sdtContent>
    </w:sdt>
    <w:bookmarkEnd w:id="7"/>
    <w:p w14:paraId="12788D14">
      <w:pPr>
        <w:pStyle w:val="108"/>
        <w:spacing w:before="240" w:after="240"/>
      </w:pPr>
      <w:bookmarkStart w:id="8" w:name="_Toc24884211"/>
      <w:bookmarkStart w:id="9" w:name="_Toc17233333"/>
      <w:bookmarkStart w:id="10" w:name="_Toc24884218"/>
      <w:bookmarkStart w:id="11" w:name="_Toc26718930"/>
      <w:bookmarkStart w:id="12" w:name="_Toc26986530"/>
      <w:bookmarkStart w:id="13" w:name="_Toc17233325"/>
      <w:bookmarkStart w:id="14" w:name="_Toc26986771"/>
      <w:bookmarkStart w:id="15" w:name="_Toc26648465"/>
      <w:r>
        <w:rPr>
          <w:rFonts w:hint="eastAsia"/>
        </w:rPr>
        <w:t>范围</w:t>
      </w:r>
      <w:bookmarkEnd w:id="8"/>
      <w:bookmarkEnd w:id="9"/>
      <w:bookmarkEnd w:id="10"/>
      <w:bookmarkEnd w:id="11"/>
      <w:bookmarkEnd w:id="12"/>
      <w:bookmarkEnd w:id="13"/>
      <w:bookmarkEnd w:id="14"/>
      <w:bookmarkEnd w:id="15"/>
    </w:p>
    <w:p w14:paraId="35C8F316">
      <w:pPr>
        <w:pStyle w:val="60"/>
        <w:ind w:firstLine="420"/>
      </w:pPr>
      <w:bookmarkStart w:id="16" w:name="_Toc17233334"/>
      <w:bookmarkStart w:id="17" w:name="_Toc26718931"/>
      <w:bookmarkStart w:id="18" w:name="_Toc26986531"/>
      <w:bookmarkStart w:id="19" w:name="_Toc26648466"/>
      <w:bookmarkStart w:id="20" w:name="_Toc26986772"/>
      <w:bookmarkStart w:id="21" w:name="_Toc17233326"/>
      <w:bookmarkStart w:id="22" w:name="_Toc24884219"/>
      <w:bookmarkStart w:id="23" w:name="_Toc24884212"/>
      <w:r>
        <w:rPr>
          <w:rFonts w:hint="eastAsia"/>
        </w:rPr>
        <w:t>本文件</w:t>
      </w:r>
      <w:r>
        <w:t>规定了</w:t>
      </w:r>
      <w:r>
        <w:rPr>
          <w:rFonts w:hint="eastAsia"/>
        </w:rPr>
        <w:t>鄂尔多斯细毛</w:t>
      </w:r>
      <w:r>
        <w:t>羊肉</w:t>
      </w:r>
      <w:r>
        <w:rPr>
          <w:rFonts w:hint="eastAsia"/>
        </w:rPr>
        <w:t>的产地和环境、品种、饲养管理、屠宰加工、产品质量、包装、标识、贮存与运输、无害化处理、追溯、记录和文件</w:t>
      </w:r>
      <w:r>
        <w:t>要求。</w:t>
      </w:r>
    </w:p>
    <w:p w14:paraId="79225D05">
      <w:pPr>
        <w:pStyle w:val="60"/>
        <w:ind w:firstLine="420"/>
      </w:pPr>
      <w:r>
        <w:rPr>
          <w:rFonts w:hint="eastAsia"/>
        </w:rPr>
        <w:t>本文件</w:t>
      </w:r>
      <w:r>
        <w:t>适用于鄂尔多斯</w:t>
      </w:r>
      <w:r>
        <w:rPr>
          <w:rFonts w:hint="eastAsia"/>
        </w:rPr>
        <w:t>行政</w:t>
      </w:r>
      <w:r>
        <w:t>区域</w:t>
      </w:r>
      <w:r>
        <w:rPr>
          <w:rFonts w:hint="eastAsia"/>
        </w:rPr>
        <w:t>内</w:t>
      </w:r>
      <w:r>
        <w:t>的</w:t>
      </w:r>
      <w:r>
        <w:rPr>
          <w:rFonts w:hint="eastAsia"/>
        </w:rPr>
        <w:t>鄂尔多斯细毛</w:t>
      </w:r>
      <w:r>
        <w:t>羊肉。</w:t>
      </w:r>
    </w:p>
    <w:p w14:paraId="36577457">
      <w:pPr>
        <w:pStyle w:val="108"/>
        <w:spacing w:before="240" w:after="240"/>
      </w:pPr>
      <w:r>
        <w:rPr>
          <w:rFonts w:hint="eastAsia"/>
        </w:rPr>
        <w:t>规范性引用文件</w:t>
      </w:r>
      <w:bookmarkEnd w:id="16"/>
      <w:bookmarkEnd w:id="17"/>
      <w:bookmarkEnd w:id="18"/>
      <w:bookmarkEnd w:id="19"/>
      <w:bookmarkEnd w:id="20"/>
      <w:bookmarkEnd w:id="21"/>
      <w:bookmarkEnd w:id="22"/>
      <w:bookmarkEnd w:id="23"/>
    </w:p>
    <w:sdt>
      <w:sdtPr>
        <w:rPr>
          <w:rFonts w:hint="eastAsia"/>
        </w:rPr>
        <w:id w:val="715848253"/>
        <w:placeholder>
          <w:docPart w:val="9A322CD597F34088AF1F67FE764002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416FA42">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8B88DA">
      <w:pPr>
        <w:pStyle w:val="234"/>
      </w:pPr>
      <w:r>
        <w:rPr>
          <w:rFonts w:hint="eastAsia"/>
        </w:rPr>
        <w:t>GB/T 191</w:t>
      </w:r>
      <w:r>
        <w:t xml:space="preserve"> </w:t>
      </w:r>
      <w:r>
        <w:rPr>
          <w:rFonts w:hint="eastAsia"/>
        </w:rPr>
        <w:t xml:space="preserve"> 包装储运图示标志</w:t>
      </w:r>
    </w:p>
    <w:p w14:paraId="540DC2A0">
      <w:pPr>
        <w:pStyle w:val="234"/>
      </w:pPr>
      <w:r>
        <w:rPr>
          <w:rFonts w:hint="eastAsia"/>
        </w:rPr>
        <w:t>GB 2707  食品安全国家标准 鲜（冻）畜、禽产品</w:t>
      </w:r>
    </w:p>
    <w:p w14:paraId="2EF04D24">
      <w:pPr>
        <w:pStyle w:val="234"/>
      </w:pPr>
      <w:r>
        <w:rPr>
          <w:rFonts w:hint="eastAsia"/>
        </w:rPr>
        <w:t>GB 2762  食品安全国家标准 食品中污染物限量</w:t>
      </w:r>
    </w:p>
    <w:p w14:paraId="53CC2FD3">
      <w:pPr>
        <w:pStyle w:val="234"/>
      </w:pPr>
      <w:r>
        <w:rPr>
          <w:rFonts w:hint="eastAsia"/>
        </w:rPr>
        <w:t>GB 5009.5  食品安全国家标准 食品中蛋白质的测定</w:t>
      </w:r>
    </w:p>
    <w:p w14:paraId="5B539202">
      <w:pPr>
        <w:pStyle w:val="234"/>
      </w:pPr>
      <w:r>
        <w:rPr>
          <w:rFonts w:hint="eastAsia"/>
        </w:rPr>
        <w:t>GB 5009.6  食品安全国家标准 食品中脂肪的测定</w:t>
      </w:r>
    </w:p>
    <w:p w14:paraId="30154732">
      <w:pPr>
        <w:pStyle w:val="234"/>
      </w:pPr>
      <w:r>
        <w:rPr>
          <w:rFonts w:hint="eastAsia"/>
        </w:rPr>
        <w:t>GB 5009.168  食品安全国家标准 食品中脂肪酸的测定</w:t>
      </w:r>
    </w:p>
    <w:p w14:paraId="3B59154B">
      <w:pPr>
        <w:pStyle w:val="234"/>
      </w:pPr>
      <w:r>
        <w:rPr>
          <w:rFonts w:hint="eastAsia"/>
        </w:rPr>
        <w:t>GB 5009.228  食品安全国家标准 食品中挥发性盐基氮的测定</w:t>
      </w:r>
    </w:p>
    <w:p w14:paraId="6392A6B3">
      <w:pPr>
        <w:pStyle w:val="234"/>
      </w:pPr>
      <w:r>
        <w:rPr>
          <w:rFonts w:hint="eastAsia"/>
        </w:rPr>
        <w:t>GB 7718 食品安全国家标准 预包装食品标签通则</w:t>
      </w:r>
    </w:p>
    <w:p w14:paraId="11EDB53E">
      <w:pPr>
        <w:pStyle w:val="234"/>
      </w:pPr>
      <w:r>
        <w:rPr>
          <w:rFonts w:hint="eastAsia"/>
        </w:rPr>
        <w:t>GB/T 9695.19  肉与肉制品 取样方法</w:t>
      </w:r>
    </w:p>
    <w:p w14:paraId="0C1213AC">
      <w:pPr>
        <w:pStyle w:val="234"/>
      </w:pPr>
      <w:r>
        <w:rPr>
          <w:rFonts w:hint="eastAsia"/>
        </w:rPr>
        <w:t>GB/T 9961</w:t>
      </w:r>
      <w:r>
        <w:rPr>
          <w:rFonts w:hint="eastAsia" w:hAnsi="宋体"/>
        </w:rPr>
        <w:t xml:space="preserve">  </w:t>
      </w:r>
      <w:r>
        <w:rPr>
          <w:rFonts w:hint="eastAsia"/>
        </w:rPr>
        <w:t>鲜、冻胴体羊肉</w:t>
      </w:r>
    </w:p>
    <w:p w14:paraId="2CD554FD">
      <w:pPr>
        <w:pStyle w:val="234"/>
      </w:pPr>
      <w:r>
        <w:rPr>
          <w:rFonts w:hint="eastAsia"/>
        </w:rPr>
        <w:t>GB 12694  食品安全国家标准 畜禽屠宰加工卫生规范</w:t>
      </w:r>
    </w:p>
    <w:p w14:paraId="0F2A450E">
      <w:pPr>
        <w:pStyle w:val="234"/>
      </w:pPr>
      <w:r>
        <w:rPr>
          <w:rFonts w:hint="eastAsia"/>
        </w:rPr>
        <w:t>GB 18394  畜禽肉水分限量</w:t>
      </w:r>
    </w:p>
    <w:p w14:paraId="63A7E713">
      <w:pPr>
        <w:pStyle w:val="234"/>
      </w:pPr>
      <w:r>
        <w:rPr>
          <w:rFonts w:hint="eastAsia"/>
        </w:rPr>
        <w:t>GB/T 28640  畜禽肉冷链运输管理技术规范</w:t>
      </w:r>
    </w:p>
    <w:p w14:paraId="3B58BE90">
      <w:pPr>
        <w:pStyle w:val="234"/>
      </w:pPr>
      <w:r>
        <w:rPr>
          <w:rFonts w:hint="eastAsia"/>
        </w:rPr>
        <w:t>GB 31650  食品安全国家标准 食品中兽药最大残留限量</w:t>
      </w:r>
    </w:p>
    <w:p w14:paraId="56935B0D">
      <w:pPr>
        <w:pStyle w:val="234"/>
      </w:pPr>
      <w:r>
        <w:rPr>
          <w:rFonts w:hint="eastAsia"/>
        </w:rPr>
        <w:t>GB/T 40465  畜禽肉追溯要求</w:t>
      </w:r>
    </w:p>
    <w:p w14:paraId="6E18D929">
      <w:pPr>
        <w:pStyle w:val="234"/>
      </w:pPr>
      <w:r>
        <w:rPr>
          <w:rFonts w:hint="eastAsia"/>
        </w:rPr>
        <w:t>NY/T 391  绿色食品 产地环境质量</w:t>
      </w:r>
    </w:p>
    <w:p w14:paraId="4A4FF91F">
      <w:pPr>
        <w:pStyle w:val="234"/>
      </w:pPr>
      <w:r>
        <w:rPr>
          <w:rFonts w:hint="eastAsia"/>
        </w:rPr>
        <w:t>NY/T 471  绿色食品 饲料及饲料添加剂使用准则</w:t>
      </w:r>
    </w:p>
    <w:p w14:paraId="79150495">
      <w:pPr>
        <w:pStyle w:val="234"/>
      </w:pPr>
      <w:r>
        <w:rPr>
          <w:rFonts w:hint="eastAsia"/>
        </w:rPr>
        <w:t>NY/T 472  绿色食品 兽药使用准则</w:t>
      </w:r>
    </w:p>
    <w:p w14:paraId="365DBEAB">
      <w:pPr>
        <w:pStyle w:val="234"/>
      </w:pPr>
      <w:r>
        <w:rPr>
          <w:rFonts w:hint="eastAsia"/>
        </w:rPr>
        <w:t>NY/T 473  绿色食品 畜禽卫生防疫准则</w:t>
      </w:r>
    </w:p>
    <w:p w14:paraId="45686762">
      <w:pPr>
        <w:pStyle w:val="234"/>
      </w:pPr>
      <w:r>
        <w:rPr>
          <w:rFonts w:hint="eastAsia"/>
        </w:rPr>
        <w:t>NY/T 1178  牧区牛羊棚圈建设技术规范</w:t>
      </w:r>
    </w:p>
    <w:p w14:paraId="5152FC75">
      <w:pPr>
        <w:pStyle w:val="234"/>
      </w:pPr>
      <w:r>
        <w:rPr>
          <w:rFonts w:hint="eastAsia"/>
        </w:rPr>
        <w:t>NY/T 1564  畜禽肉分割技术规程 羊肉</w:t>
      </w:r>
    </w:p>
    <w:p w14:paraId="77ABF6E2">
      <w:pPr>
        <w:pStyle w:val="234"/>
      </w:pPr>
      <w:r>
        <w:rPr>
          <w:rFonts w:hint="eastAsia"/>
        </w:rPr>
        <w:t>NY/T 2793  肉的食用品质客观评价方法</w:t>
      </w:r>
    </w:p>
    <w:p w14:paraId="1B2B28E6">
      <w:pPr>
        <w:pStyle w:val="234"/>
      </w:pPr>
      <w:r>
        <w:rPr>
          <w:rFonts w:hint="eastAsia"/>
        </w:rPr>
        <w:t>NY/T 2799  绿色食品 畜肉</w:t>
      </w:r>
    </w:p>
    <w:p w14:paraId="61CCCF80">
      <w:pPr>
        <w:pStyle w:val="234"/>
      </w:pPr>
      <w:r>
        <w:rPr>
          <w:rFonts w:hint="eastAsia"/>
        </w:rPr>
        <w:t>NY/T 3383  畜禽产品包装与标识</w:t>
      </w:r>
    </w:p>
    <w:p w14:paraId="09415A70">
      <w:pPr>
        <w:pStyle w:val="234"/>
      </w:pPr>
      <w:r>
        <w:rPr>
          <w:rFonts w:hint="eastAsia"/>
        </w:rPr>
        <w:t>NY/T 3469  畜禽屠宰操作规程 羊</w:t>
      </w:r>
    </w:p>
    <w:p w14:paraId="2B37349C">
      <w:pPr>
        <w:pStyle w:val="234"/>
      </w:pPr>
      <w:r>
        <w:rPr>
          <w:rFonts w:hint="eastAsia"/>
        </w:rPr>
        <w:t>DB15/T 1312  鄂尔多斯细毛羊</w:t>
      </w:r>
    </w:p>
    <w:p w14:paraId="7FEA07CE">
      <w:pPr>
        <w:pStyle w:val="108"/>
        <w:spacing w:before="240" w:after="240"/>
      </w:pPr>
      <w:r>
        <w:rPr>
          <w:rFonts w:hint="eastAsia"/>
          <w:szCs w:val="21"/>
        </w:rPr>
        <w:t>术语和定义</w:t>
      </w:r>
    </w:p>
    <w:sdt>
      <w:sdtPr>
        <w:id w:val="-1909835108"/>
        <w:placeholder>
          <w:docPart w:val="{145892df-5c1d-4c8c-9d10-ceb4067336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03A6072">
          <w:pPr>
            <w:pStyle w:val="60"/>
            <w:ind w:firstLine="420"/>
          </w:pPr>
          <w:bookmarkStart w:id="24" w:name="_Toc26986532"/>
          <w:bookmarkEnd w:id="24"/>
          <w:r>
            <w:t>本文件没有需要界定的术语和定义。</w:t>
          </w:r>
        </w:p>
      </w:sdtContent>
    </w:sdt>
    <w:p w14:paraId="6A92E3EE">
      <w:pPr>
        <w:pStyle w:val="108"/>
        <w:spacing w:before="240" w:after="240"/>
        <w:rPr>
          <w:szCs w:val="21"/>
        </w:rPr>
      </w:pPr>
      <w:r>
        <w:rPr>
          <w:rFonts w:hint="eastAsia"/>
          <w:szCs w:val="21"/>
        </w:rPr>
        <w:t>产地和环境</w:t>
      </w:r>
    </w:p>
    <w:p w14:paraId="203F1E98">
      <w:pPr>
        <w:pStyle w:val="109"/>
        <w:spacing w:before="120" w:after="120"/>
      </w:pPr>
      <w:r>
        <w:rPr>
          <w:rFonts w:hint="eastAsia"/>
        </w:rPr>
        <w:t>地域要求</w:t>
      </w:r>
    </w:p>
    <w:p w14:paraId="30856DBC">
      <w:pPr>
        <w:pStyle w:val="234"/>
      </w:pPr>
      <w:r>
        <w:rPr>
          <w:rFonts w:hint="eastAsia"/>
        </w:rPr>
        <w:t>产区在内蒙古自治区鄂尔多斯市行政区域内。</w:t>
      </w:r>
    </w:p>
    <w:p w14:paraId="09CF87D6">
      <w:pPr>
        <w:pStyle w:val="109"/>
        <w:spacing w:before="120" w:after="120"/>
      </w:pPr>
      <w:bookmarkStart w:id="25" w:name="_Toc24709821"/>
      <w:bookmarkStart w:id="26" w:name="_Toc24471644"/>
      <w:bookmarkStart w:id="27" w:name="_Toc24472365"/>
      <w:bookmarkStart w:id="28" w:name="_Toc24471591"/>
      <w:bookmarkStart w:id="29" w:name="_Toc24638613"/>
      <w:r>
        <w:rPr>
          <w:rFonts w:hint="eastAsia"/>
        </w:rPr>
        <w:t>环境质量要求</w:t>
      </w:r>
    </w:p>
    <w:bookmarkEnd w:id="25"/>
    <w:bookmarkEnd w:id="26"/>
    <w:bookmarkEnd w:id="27"/>
    <w:bookmarkEnd w:id="28"/>
    <w:bookmarkEnd w:id="29"/>
    <w:p w14:paraId="799ADB9B">
      <w:pPr>
        <w:pStyle w:val="168"/>
        <w:numPr>
          <w:ilvl w:val="4"/>
          <w:numId w:val="0"/>
        </w:numPr>
        <w:ind w:firstLine="420" w:firstLineChars="200"/>
      </w:pPr>
      <w:r>
        <w:rPr>
          <w:rFonts w:hint="eastAsia"/>
        </w:rPr>
        <w:t>应符合NY/T 391的规定。</w:t>
      </w:r>
    </w:p>
    <w:p w14:paraId="44E7B25C">
      <w:pPr>
        <w:pStyle w:val="108"/>
        <w:spacing w:before="240" w:after="240"/>
        <w:rPr>
          <w:szCs w:val="21"/>
        </w:rPr>
      </w:pPr>
      <w:r>
        <w:rPr>
          <w:rFonts w:hint="eastAsia"/>
          <w:szCs w:val="21"/>
        </w:rPr>
        <w:t>品种</w:t>
      </w:r>
    </w:p>
    <w:p w14:paraId="07B24061">
      <w:pPr>
        <w:pStyle w:val="60"/>
        <w:ind w:firstLine="420"/>
      </w:pPr>
      <w:r>
        <w:rPr>
          <w:rFonts w:hint="eastAsia"/>
        </w:rPr>
        <w:t>品种为鄂尔多斯细毛羊，应符合DB15/T 1312的要求。</w:t>
      </w:r>
    </w:p>
    <w:p w14:paraId="5C5C6B41">
      <w:pPr>
        <w:pStyle w:val="108"/>
        <w:spacing w:before="240" w:after="240"/>
        <w:rPr>
          <w:szCs w:val="21"/>
        </w:rPr>
      </w:pPr>
      <w:r>
        <w:rPr>
          <w:rFonts w:hint="eastAsia"/>
          <w:szCs w:val="21"/>
        </w:rPr>
        <w:t>饲养管理</w:t>
      </w:r>
    </w:p>
    <w:p w14:paraId="608B8849">
      <w:pPr>
        <w:pStyle w:val="109"/>
        <w:spacing w:before="120" w:after="120"/>
      </w:pPr>
      <w:bookmarkStart w:id="30" w:name="_Toc24472364"/>
      <w:bookmarkStart w:id="31" w:name="_Toc24471643"/>
      <w:bookmarkStart w:id="32" w:name="_Toc24709820"/>
      <w:bookmarkStart w:id="33" w:name="_Toc24638612"/>
      <w:bookmarkStart w:id="34" w:name="_Toc24471590"/>
      <w:r>
        <w:rPr>
          <w:rFonts w:hint="eastAsia"/>
        </w:rPr>
        <w:t>草场要求</w:t>
      </w:r>
      <w:bookmarkEnd w:id="30"/>
      <w:bookmarkEnd w:id="31"/>
      <w:bookmarkEnd w:id="32"/>
      <w:bookmarkEnd w:id="33"/>
      <w:bookmarkEnd w:id="34"/>
    </w:p>
    <w:p w14:paraId="63F83308">
      <w:pPr>
        <w:pStyle w:val="168"/>
      </w:pPr>
      <w:r>
        <w:rPr>
          <w:rFonts w:hint="eastAsia"/>
        </w:rPr>
        <w:t>养殖区域应选择在鄂尔多斯市行政区域内生态环境良好、无污染的牧场。</w:t>
      </w:r>
    </w:p>
    <w:p w14:paraId="43CAA3EE">
      <w:pPr>
        <w:pStyle w:val="168"/>
      </w:pPr>
      <w:r>
        <w:rPr>
          <w:rFonts w:hint="eastAsia"/>
        </w:rPr>
        <w:t>草场植被主要</w:t>
      </w:r>
      <w:r>
        <w:t>有沙蒿、柠条、芨芨草、寸草</w:t>
      </w:r>
      <w:r>
        <w:rPr>
          <w:rFonts w:hint="eastAsia"/>
        </w:rPr>
        <w:t>、</w:t>
      </w:r>
      <w:r>
        <w:t>草木樨、沙打旺、苜蓿、羊柴等。</w:t>
      </w:r>
    </w:p>
    <w:p w14:paraId="4FFFBC20">
      <w:pPr>
        <w:pStyle w:val="109"/>
        <w:spacing w:before="120" w:after="120"/>
      </w:pPr>
      <w:r>
        <w:rPr>
          <w:rFonts w:hint="eastAsia"/>
        </w:rPr>
        <w:t>场址与圈舍要求</w:t>
      </w:r>
    </w:p>
    <w:p w14:paraId="20E0E939">
      <w:pPr>
        <w:pStyle w:val="241"/>
        <w:numPr>
          <w:ilvl w:val="3"/>
          <w:numId w:val="0"/>
        </w:numPr>
        <w:ind w:firstLine="420" w:firstLineChars="200"/>
      </w:pPr>
      <w:r>
        <w:rPr>
          <w:rFonts w:hint="eastAsia"/>
        </w:rPr>
        <w:t>应符合NY/T 1178 的规定。</w:t>
      </w:r>
    </w:p>
    <w:p w14:paraId="6F600220">
      <w:pPr>
        <w:pStyle w:val="109"/>
        <w:spacing w:before="120" w:after="120"/>
      </w:pPr>
      <w:r>
        <w:rPr>
          <w:rFonts w:hint="eastAsia"/>
        </w:rPr>
        <w:t>饲料质量要求</w:t>
      </w:r>
    </w:p>
    <w:p w14:paraId="513E7E55">
      <w:pPr>
        <w:pStyle w:val="234"/>
      </w:pPr>
      <w:r>
        <w:rPr>
          <w:rFonts w:hint="eastAsia"/>
        </w:rPr>
        <w:t>饲料有精料、青干草和秸秆等，要求色泽正常，无发霉变质、结块，无异味，同时应符合NY/T 471的规定。</w:t>
      </w:r>
    </w:p>
    <w:p w14:paraId="658174B1">
      <w:pPr>
        <w:pStyle w:val="109"/>
        <w:spacing w:before="120" w:after="120"/>
      </w:pPr>
      <w:r>
        <w:rPr>
          <w:rFonts w:hint="eastAsia"/>
        </w:rPr>
        <w:t>饲养方式要求</w:t>
      </w:r>
    </w:p>
    <w:p w14:paraId="3266A722">
      <w:pPr>
        <w:pStyle w:val="169"/>
        <w:numPr>
          <w:ilvl w:val="255"/>
          <w:numId w:val="0"/>
        </w:numPr>
        <w:ind w:firstLine="420" w:firstLineChars="200"/>
      </w:pPr>
      <w:r>
        <w:rPr>
          <w:rFonts w:hint="eastAsia"/>
        </w:rPr>
        <w:t>饲养方式以放牧、放牧+补饲为主。</w:t>
      </w:r>
    </w:p>
    <w:p w14:paraId="27268E5B">
      <w:pPr>
        <w:pStyle w:val="109"/>
        <w:spacing w:before="120" w:after="120"/>
      </w:pPr>
      <w:r>
        <w:rPr>
          <w:rFonts w:hint="eastAsia"/>
        </w:rPr>
        <w:t>疫病防控要求</w:t>
      </w:r>
    </w:p>
    <w:p w14:paraId="0D300C15">
      <w:pPr>
        <w:pStyle w:val="169"/>
      </w:pPr>
      <w:r>
        <w:rPr>
          <w:rFonts w:hint="eastAsia"/>
        </w:rPr>
        <w:t>疫病防治应符合NY/T 473的规定。</w:t>
      </w:r>
    </w:p>
    <w:p w14:paraId="074C3F00">
      <w:pPr>
        <w:pStyle w:val="169"/>
      </w:pPr>
      <w:r>
        <w:rPr>
          <w:rFonts w:hint="eastAsia"/>
        </w:rPr>
        <w:t>兽药的使用应符合NY/T 472的规定。</w:t>
      </w:r>
    </w:p>
    <w:p w14:paraId="13198D6A">
      <w:pPr>
        <w:pStyle w:val="108"/>
        <w:spacing w:before="240" w:after="240"/>
        <w:rPr>
          <w:szCs w:val="21"/>
        </w:rPr>
      </w:pPr>
      <w:r>
        <w:rPr>
          <w:rFonts w:hint="eastAsia"/>
          <w:szCs w:val="21"/>
        </w:rPr>
        <w:t>屠宰加工</w:t>
      </w:r>
    </w:p>
    <w:p w14:paraId="5652C7A4">
      <w:pPr>
        <w:pStyle w:val="169"/>
        <w:numPr>
          <w:ilvl w:val="255"/>
          <w:numId w:val="0"/>
        </w:numPr>
        <w:ind w:firstLine="420" w:firstLineChars="200"/>
      </w:pPr>
      <w:r>
        <w:rPr>
          <w:rFonts w:hint="eastAsia"/>
        </w:rPr>
        <w:t>屠宰应符合NY/T 3469的规定，加工应符合NY/T 1564的规定。</w:t>
      </w:r>
    </w:p>
    <w:p w14:paraId="40C1B7E5">
      <w:pPr>
        <w:pStyle w:val="108"/>
        <w:spacing w:before="240" w:after="240"/>
        <w:rPr>
          <w:szCs w:val="21"/>
        </w:rPr>
      </w:pPr>
      <w:r>
        <w:rPr>
          <w:rFonts w:hint="eastAsia"/>
          <w:szCs w:val="21"/>
        </w:rPr>
        <w:t>产品质量</w:t>
      </w:r>
    </w:p>
    <w:p w14:paraId="62B89372">
      <w:pPr>
        <w:pStyle w:val="109"/>
        <w:spacing w:before="120" w:after="120"/>
      </w:pPr>
      <w:r>
        <w:rPr>
          <w:rFonts w:hint="eastAsia"/>
        </w:rPr>
        <w:t>感官指标要求</w:t>
      </w:r>
    </w:p>
    <w:p w14:paraId="5DFD72A6">
      <w:pPr>
        <w:pStyle w:val="234"/>
      </w:pPr>
      <w:bookmarkStart w:id="35" w:name="OLE_LINK3"/>
      <w:r>
        <w:rPr>
          <w:rFonts w:hint="eastAsia"/>
        </w:rPr>
        <w:t>应符合表1的规定。</w:t>
      </w:r>
    </w:p>
    <w:p w14:paraId="5F243C45">
      <w:pPr>
        <w:pStyle w:val="234"/>
      </w:pPr>
    </w:p>
    <w:p w14:paraId="0C290779">
      <w:pPr>
        <w:pStyle w:val="240"/>
        <w:spacing w:before="120" w:after="120"/>
      </w:pPr>
      <w:r>
        <w:rPr>
          <w:rFonts w:hint="eastAsia"/>
        </w:rPr>
        <w:t>感官指标</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5946"/>
        <w:gridCol w:w="1882"/>
      </w:tblGrid>
      <w:tr w14:paraId="0322B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single" w:color="auto" w:sz="8" w:space="0"/>
              <w:bottom w:val="single" w:color="auto" w:sz="8" w:space="0"/>
            </w:tcBorders>
            <w:shd w:val="clear" w:color="auto" w:fill="auto"/>
            <w:vAlign w:val="center"/>
          </w:tcPr>
          <w:p w14:paraId="1D106FB8">
            <w:pPr>
              <w:widowControl/>
              <w:tabs>
                <w:tab w:val="center" w:pos="4201"/>
                <w:tab w:val="right" w:leader="dot" w:pos="9298"/>
              </w:tabs>
              <w:autoSpaceDE w:val="0"/>
              <w:autoSpaceDN w:val="0"/>
              <w:jc w:val="center"/>
              <w:rPr>
                <w:rFonts w:ascii="宋体" w:hAnsi="宋体"/>
                <w:bCs/>
                <w:kern w:val="0"/>
                <w:sz w:val="18"/>
              </w:rPr>
            </w:pPr>
            <w:r>
              <w:rPr>
                <w:rFonts w:hint="eastAsia" w:ascii="宋体" w:hAnsi="宋体"/>
                <w:bCs/>
                <w:kern w:val="0"/>
                <w:sz w:val="18"/>
                <w:szCs w:val="18"/>
              </w:rPr>
              <w:t>项目</w:t>
            </w:r>
          </w:p>
        </w:tc>
        <w:tc>
          <w:tcPr>
            <w:tcW w:w="5946" w:type="dxa"/>
            <w:tcBorders>
              <w:top w:val="single" w:color="auto" w:sz="8" w:space="0"/>
              <w:bottom w:val="single" w:color="auto" w:sz="8" w:space="0"/>
            </w:tcBorders>
            <w:shd w:val="clear" w:color="auto" w:fill="auto"/>
            <w:vAlign w:val="center"/>
          </w:tcPr>
          <w:p w14:paraId="1A9AB99E">
            <w:pPr>
              <w:widowControl/>
              <w:tabs>
                <w:tab w:val="center" w:pos="4201"/>
                <w:tab w:val="right" w:leader="dot" w:pos="9298"/>
              </w:tabs>
              <w:autoSpaceDE w:val="0"/>
              <w:autoSpaceDN w:val="0"/>
              <w:jc w:val="center"/>
              <w:rPr>
                <w:rFonts w:ascii="宋体" w:hAnsi="宋体"/>
                <w:bCs/>
                <w:kern w:val="0"/>
                <w:sz w:val="18"/>
              </w:rPr>
            </w:pPr>
            <w:r>
              <w:rPr>
                <w:rFonts w:hint="eastAsia" w:ascii="宋体" w:hAnsi="宋体"/>
                <w:bCs/>
                <w:kern w:val="0"/>
                <w:sz w:val="18"/>
                <w:szCs w:val="18"/>
              </w:rPr>
              <w:t>要求</w:t>
            </w:r>
          </w:p>
        </w:tc>
        <w:tc>
          <w:tcPr>
            <w:tcW w:w="1882" w:type="dxa"/>
            <w:tcBorders>
              <w:top w:val="single" w:color="auto" w:sz="8" w:space="0"/>
              <w:bottom w:val="single" w:color="auto" w:sz="8" w:space="0"/>
            </w:tcBorders>
            <w:shd w:val="clear" w:color="auto" w:fill="auto"/>
            <w:vAlign w:val="center"/>
          </w:tcPr>
          <w:p w14:paraId="3CCF98B9">
            <w:pPr>
              <w:jc w:val="center"/>
              <w:rPr>
                <w:rFonts w:ascii="宋体"/>
                <w:sz w:val="18"/>
              </w:rPr>
            </w:pPr>
            <w:r>
              <w:rPr>
                <w:rFonts w:hint="eastAsia" w:ascii="宋体"/>
                <w:sz w:val="18"/>
              </w:rPr>
              <w:t>检测方法</w:t>
            </w:r>
          </w:p>
        </w:tc>
      </w:tr>
      <w:tr w14:paraId="1C7A9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tcBorders>
              <w:top w:val="single" w:color="auto" w:sz="8" w:space="0"/>
            </w:tcBorders>
            <w:shd w:val="clear" w:color="auto" w:fill="auto"/>
            <w:vAlign w:val="center"/>
          </w:tcPr>
          <w:p w14:paraId="670B5198">
            <w:pPr>
              <w:widowControl/>
              <w:tabs>
                <w:tab w:val="center" w:pos="4201"/>
                <w:tab w:val="right" w:leader="dot" w:pos="9298"/>
              </w:tabs>
              <w:autoSpaceDE w:val="0"/>
              <w:autoSpaceDN w:val="0"/>
              <w:jc w:val="center"/>
              <w:rPr>
                <w:rFonts w:ascii="宋体" w:hAnsi="宋体"/>
                <w:kern w:val="0"/>
                <w:sz w:val="18"/>
              </w:rPr>
            </w:pPr>
            <w:r>
              <w:rPr>
                <w:rFonts w:hint="eastAsia" w:ascii="宋体" w:hAnsi="宋体"/>
                <w:kern w:val="0"/>
                <w:sz w:val="18"/>
                <w:szCs w:val="18"/>
              </w:rPr>
              <w:t>色泽</w:t>
            </w:r>
          </w:p>
        </w:tc>
        <w:tc>
          <w:tcPr>
            <w:tcW w:w="5946" w:type="dxa"/>
            <w:tcBorders>
              <w:top w:val="single" w:color="auto" w:sz="8" w:space="0"/>
            </w:tcBorders>
            <w:shd w:val="clear" w:color="auto" w:fill="auto"/>
            <w:vAlign w:val="center"/>
          </w:tcPr>
          <w:p w14:paraId="384610AF">
            <w:pPr>
              <w:widowControl/>
              <w:tabs>
                <w:tab w:val="center" w:pos="4201"/>
                <w:tab w:val="right" w:leader="dot" w:pos="9298"/>
              </w:tabs>
              <w:autoSpaceDE w:val="0"/>
              <w:autoSpaceDN w:val="0"/>
              <w:jc w:val="center"/>
              <w:rPr>
                <w:rFonts w:ascii="宋体" w:hAnsi="宋体"/>
                <w:kern w:val="0"/>
                <w:sz w:val="18"/>
              </w:rPr>
            </w:pPr>
            <w:r>
              <w:rPr>
                <w:rFonts w:hint="eastAsia" w:ascii="宋体" w:hAnsi="宋体"/>
                <w:kern w:val="0"/>
                <w:sz w:val="18"/>
                <w:szCs w:val="18"/>
              </w:rPr>
              <w:t>肌肉呈深红色，脂肪为乳白色或者淡黄色</w:t>
            </w:r>
          </w:p>
        </w:tc>
        <w:tc>
          <w:tcPr>
            <w:tcW w:w="1882" w:type="dxa"/>
            <w:vMerge w:val="restart"/>
            <w:tcBorders>
              <w:top w:val="single" w:color="auto" w:sz="8" w:space="0"/>
            </w:tcBorders>
            <w:shd w:val="clear" w:color="auto" w:fill="auto"/>
            <w:vAlign w:val="center"/>
          </w:tcPr>
          <w:p w14:paraId="72FAD998">
            <w:pPr>
              <w:jc w:val="center"/>
              <w:rPr>
                <w:rFonts w:ascii="宋体"/>
                <w:sz w:val="18"/>
              </w:rPr>
            </w:pPr>
            <w:r>
              <w:rPr>
                <w:rFonts w:hint="eastAsia" w:ascii="宋体"/>
                <w:sz w:val="18"/>
              </w:rPr>
              <w:t>GB/T 9961</w:t>
            </w:r>
          </w:p>
        </w:tc>
      </w:tr>
      <w:tr w14:paraId="01A66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shd w:val="clear" w:color="auto" w:fill="auto"/>
            <w:vAlign w:val="center"/>
          </w:tcPr>
          <w:p w14:paraId="26C42D80">
            <w:pPr>
              <w:widowControl/>
              <w:tabs>
                <w:tab w:val="center" w:pos="4201"/>
                <w:tab w:val="right" w:leader="dot" w:pos="9298"/>
              </w:tabs>
              <w:autoSpaceDE w:val="0"/>
              <w:autoSpaceDN w:val="0"/>
              <w:jc w:val="center"/>
              <w:rPr>
                <w:rFonts w:ascii="宋体" w:hAnsi="宋体"/>
                <w:kern w:val="0"/>
                <w:sz w:val="18"/>
              </w:rPr>
            </w:pPr>
            <w:r>
              <w:rPr>
                <w:rFonts w:hint="eastAsia" w:ascii="宋体" w:hAnsi="宋体"/>
                <w:kern w:val="0"/>
                <w:sz w:val="18"/>
                <w:szCs w:val="18"/>
              </w:rPr>
              <w:t>组织状态</w:t>
            </w:r>
          </w:p>
        </w:tc>
        <w:tc>
          <w:tcPr>
            <w:tcW w:w="5946" w:type="dxa"/>
            <w:shd w:val="clear" w:color="auto" w:fill="auto"/>
            <w:vAlign w:val="center"/>
          </w:tcPr>
          <w:p w14:paraId="4F1251FA">
            <w:pPr>
              <w:widowControl/>
              <w:tabs>
                <w:tab w:val="center" w:pos="4201"/>
                <w:tab w:val="right" w:leader="dot" w:pos="9298"/>
              </w:tabs>
              <w:autoSpaceDE w:val="0"/>
              <w:autoSpaceDN w:val="0"/>
              <w:jc w:val="center"/>
              <w:rPr>
                <w:rFonts w:ascii="宋体" w:hAnsi="宋体"/>
                <w:kern w:val="0"/>
                <w:sz w:val="18"/>
              </w:rPr>
            </w:pPr>
            <w:r>
              <w:rPr>
                <w:rFonts w:hint="eastAsia" w:ascii="宋体" w:hAnsi="宋体"/>
                <w:kern w:val="0"/>
                <w:sz w:val="18"/>
                <w:szCs w:val="18"/>
              </w:rPr>
              <w:t>肉质紧密，具有坚实感，肌纤维有韧性，指压后能在较短时间内恢复原状</w:t>
            </w:r>
          </w:p>
        </w:tc>
        <w:tc>
          <w:tcPr>
            <w:tcW w:w="1882" w:type="dxa"/>
            <w:vMerge w:val="continue"/>
            <w:shd w:val="clear" w:color="auto" w:fill="auto"/>
            <w:vAlign w:val="center"/>
          </w:tcPr>
          <w:p w14:paraId="0CDFD2CB">
            <w:pPr>
              <w:jc w:val="center"/>
              <w:rPr>
                <w:rFonts w:ascii="宋体"/>
                <w:sz w:val="18"/>
              </w:rPr>
            </w:pPr>
          </w:p>
        </w:tc>
      </w:tr>
      <w:tr w14:paraId="2C022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24" w:type="dxa"/>
            <w:shd w:val="clear" w:color="auto" w:fill="auto"/>
            <w:vAlign w:val="center"/>
          </w:tcPr>
          <w:p w14:paraId="682DE0BB">
            <w:pPr>
              <w:widowControl/>
              <w:tabs>
                <w:tab w:val="center" w:pos="4201"/>
                <w:tab w:val="right" w:leader="dot" w:pos="9298"/>
              </w:tabs>
              <w:autoSpaceDE w:val="0"/>
              <w:autoSpaceDN w:val="0"/>
              <w:jc w:val="center"/>
              <w:rPr>
                <w:rFonts w:ascii="宋体" w:hAnsi="宋体"/>
                <w:kern w:val="0"/>
                <w:sz w:val="18"/>
              </w:rPr>
            </w:pPr>
            <w:r>
              <w:rPr>
                <w:rFonts w:hint="eastAsia" w:ascii="宋体" w:hAnsi="宋体"/>
                <w:kern w:val="0"/>
                <w:sz w:val="18"/>
                <w:szCs w:val="18"/>
              </w:rPr>
              <w:t>粘度</w:t>
            </w:r>
          </w:p>
        </w:tc>
        <w:tc>
          <w:tcPr>
            <w:tcW w:w="5946" w:type="dxa"/>
            <w:shd w:val="clear" w:color="auto" w:fill="auto"/>
            <w:vAlign w:val="center"/>
          </w:tcPr>
          <w:p w14:paraId="43135115">
            <w:pPr>
              <w:widowControl/>
              <w:tabs>
                <w:tab w:val="center" w:pos="4201"/>
                <w:tab w:val="right" w:leader="dot" w:pos="9298"/>
              </w:tabs>
              <w:autoSpaceDE w:val="0"/>
              <w:autoSpaceDN w:val="0"/>
              <w:jc w:val="center"/>
              <w:rPr>
                <w:rFonts w:ascii="宋体" w:hAnsi="宋体"/>
                <w:kern w:val="0"/>
                <w:sz w:val="18"/>
              </w:rPr>
            </w:pPr>
            <w:r>
              <w:rPr>
                <w:rFonts w:hint="eastAsia" w:ascii="宋体" w:hAnsi="宋体"/>
                <w:kern w:val="0"/>
                <w:sz w:val="18"/>
                <w:szCs w:val="18"/>
              </w:rPr>
              <w:t>肌肉表面湿润，或有风干膜，不粘手</w:t>
            </w:r>
          </w:p>
        </w:tc>
        <w:tc>
          <w:tcPr>
            <w:tcW w:w="1882" w:type="dxa"/>
            <w:vMerge w:val="continue"/>
            <w:shd w:val="clear" w:color="auto" w:fill="auto"/>
            <w:vAlign w:val="center"/>
          </w:tcPr>
          <w:p w14:paraId="571A6E31">
            <w:pPr>
              <w:jc w:val="center"/>
              <w:rPr>
                <w:rFonts w:ascii="宋体"/>
                <w:sz w:val="18"/>
              </w:rPr>
            </w:pPr>
          </w:p>
        </w:tc>
      </w:tr>
      <w:tr w14:paraId="1B3A8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24" w:type="dxa"/>
            <w:shd w:val="clear" w:color="auto" w:fill="auto"/>
            <w:vAlign w:val="center"/>
          </w:tcPr>
          <w:p w14:paraId="6983D293">
            <w:pPr>
              <w:widowControl/>
              <w:tabs>
                <w:tab w:val="center" w:pos="4201"/>
                <w:tab w:val="right" w:leader="dot" w:pos="9298"/>
              </w:tabs>
              <w:autoSpaceDE w:val="0"/>
              <w:autoSpaceDN w:val="0"/>
              <w:jc w:val="center"/>
              <w:rPr>
                <w:rFonts w:ascii="宋体" w:hAnsi="宋体"/>
                <w:kern w:val="0"/>
                <w:sz w:val="18"/>
                <w:szCs w:val="18"/>
              </w:rPr>
            </w:pPr>
            <w:r>
              <w:rPr>
                <w:rFonts w:hint="eastAsia" w:ascii="宋体" w:hAnsi="宋体"/>
                <w:kern w:val="0"/>
                <w:sz w:val="18"/>
                <w:szCs w:val="18"/>
              </w:rPr>
              <w:t>气味</w:t>
            </w:r>
          </w:p>
        </w:tc>
        <w:tc>
          <w:tcPr>
            <w:tcW w:w="5946" w:type="dxa"/>
            <w:shd w:val="clear" w:color="auto" w:fill="auto"/>
            <w:vAlign w:val="center"/>
          </w:tcPr>
          <w:p w14:paraId="01324E9D">
            <w:pPr>
              <w:widowControl/>
              <w:tabs>
                <w:tab w:val="center" w:pos="4201"/>
                <w:tab w:val="right" w:leader="dot" w:pos="9298"/>
              </w:tabs>
              <w:autoSpaceDE w:val="0"/>
              <w:autoSpaceDN w:val="0"/>
              <w:jc w:val="center"/>
              <w:rPr>
                <w:rFonts w:ascii="宋体" w:hAnsi="宋体"/>
                <w:kern w:val="0"/>
                <w:sz w:val="18"/>
                <w:szCs w:val="18"/>
              </w:rPr>
            </w:pPr>
            <w:r>
              <w:rPr>
                <w:rFonts w:hint="eastAsia" w:ascii="宋体" w:hAnsi="宋体"/>
                <w:kern w:val="0"/>
                <w:sz w:val="18"/>
                <w:szCs w:val="18"/>
              </w:rPr>
              <w:t>具有羊肉正常气味，无异味</w:t>
            </w:r>
          </w:p>
        </w:tc>
        <w:tc>
          <w:tcPr>
            <w:tcW w:w="1882" w:type="dxa"/>
            <w:vMerge w:val="continue"/>
            <w:shd w:val="clear" w:color="auto" w:fill="auto"/>
            <w:vAlign w:val="center"/>
          </w:tcPr>
          <w:p w14:paraId="01FE7E28">
            <w:pPr>
              <w:jc w:val="center"/>
              <w:rPr>
                <w:rFonts w:ascii="宋体"/>
                <w:sz w:val="18"/>
              </w:rPr>
            </w:pPr>
          </w:p>
        </w:tc>
      </w:tr>
      <w:tr w14:paraId="56250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24" w:type="dxa"/>
            <w:shd w:val="clear" w:color="auto" w:fill="auto"/>
            <w:vAlign w:val="center"/>
          </w:tcPr>
          <w:p w14:paraId="2EBE6F04">
            <w:pPr>
              <w:widowControl/>
              <w:tabs>
                <w:tab w:val="center" w:pos="4201"/>
                <w:tab w:val="right" w:leader="dot" w:pos="9298"/>
              </w:tabs>
              <w:autoSpaceDE w:val="0"/>
              <w:autoSpaceDN w:val="0"/>
              <w:jc w:val="center"/>
              <w:rPr>
                <w:rFonts w:ascii="宋体" w:hAnsi="宋体"/>
                <w:kern w:val="0"/>
                <w:sz w:val="18"/>
                <w:szCs w:val="18"/>
              </w:rPr>
            </w:pPr>
            <w:r>
              <w:rPr>
                <w:rFonts w:hint="eastAsia" w:ascii="宋体" w:hAnsi="宋体"/>
                <w:kern w:val="0"/>
                <w:sz w:val="18"/>
                <w:szCs w:val="18"/>
              </w:rPr>
              <w:t>煮沸后肉汤</w:t>
            </w:r>
          </w:p>
        </w:tc>
        <w:tc>
          <w:tcPr>
            <w:tcW w:w="5946" w:type="dxa"/>
            <w:shd w:val="clear" w:color="auto" w:fill="auto"/>
            <w:vAlign w:val="center"/>
          </w:tcPr>
          <w:p w14:paraId="5AB5C9A0">
            <w:pPr>
              <w:widowControl/>
              <w:tabs>
                <w:tab w:val="center" w:pos="4201"/>
                <w:tab w:val="right" w:leader="dot" w:pos="9298"/>
              </w:tabs>
              <w:autoSpaceDE w:val="0"/>
              <w:autoSpaceDN w:val="0"/>
              <w:jc w:val="center"/>
              <w:rPr>
                <w:rFonts w:ascii="宋体" w:hAnsi="宋体"/>
                <w:kern w:val="0"/>
                <w:sz w:val="18"/>
                <w:szCs w:val="18"/>
              </w:rPr>
            </w:pPr>
            <w:r>
              <w:rPr>
                <w:rFonts w:hint="eastAsia" w:ascii="宋体" w:hAnsi="宋体"/>
                <w:kern w:val="0"/>
                <w:sz w:val="18"/>
                <w:szCs w:val="18"/>
              </w:rPr>
              <w:t>汤汁清澈，气味香，脂肪团聚于表面，无异味</w:t>
            </w:r>
          </w:p>
        </w:tc>
        <w:tc>
          <w:tcPr>
            <w:tcW w:w="1882" w:type="dxa"/>
            <w:vMerge w:val="continue"/>
            <w:shd w:val="clear" w:color="auto" w:fill="auto"/>
            <w:vAlign w:val="center"/>
          </w:tcPr>
          <w:p w14:paraId="0B04E72B">
            <w:pPr>
              <w:jc w:val="center"/>
              <w:rPr>
                <w:rFonts w:ascii="宋体"/>
                <w:sz w:val="18"/>
              </w:rPr>
            </w:pPr>
          </w:p>
        </w:tc>
      </w:tr>
    </w:tbl>
    <w:p w14:paraId="653B1405">
      <w:pPr>
        <w:pStyle w:val="234"/>
      </w:pPr>
    </w:p>
    <w:p w14:paraId="267C03CC">
      <w:pPr>
        <w:pStyle w:val="234"/>
      </w:pPr>
    </w:p>
    <w:bookmarkEnd w:id="35"/>
    <w:p w14:paraId="7EAA65DF">
      <w:pPr>
        <w:pStyle w:val="109"/>
        <w:spacing w:before="120" w:after="120"/>
      </w:pPr>
      <w:r>
        <w:rPr>
          <w:rFonts w:hint="eastAsia"/>
        </w:rPr>
        <w:t>营养指标要求</w:t>
      </w:r>
    </w:p>
    <w:p w14:paraId="6A132820">
      <w:pPr>
        <w:pStyle w:val="234"/>
      </w:pPr>
      <w:r>
        <w:rPr>
          <w:rFonts w:hint="eastAsia"/>
        </w:rPr>
        <w:t>应符合表2的规定。</w:t>
      </w:r>
    </w:p>
    <w:p w14:paraId="7BF7473C">
      <w:pPr>
        <w:pStyle w:val="240"/>
        <w:spacing w:before="120" w:after="120"/>
      </w:pPr>
      <w:r>
        <w:rPr>
          <w:rFonts w:hint="eastAsia"/>
        </w:rPr>
        <w:t>营养指标</w:t>
      </w:r>
    </w:p>
    <w:tbl>
      <w:tblPr>
        <w:tblStyle w:val="29"/>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630"/>
        <w:gridCol w:w="2409"/>
      </w:tblGrid>
      <w:tr w14:paraId="1F798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single" w:color="auto" w:sz="8" w:space="0"/>
              <w:bottom w:val="single" w:color="auto" w:sz="8" w:space="0"/>
            </w:tcBorders>
            <w:shd w:val="clear" w:color="auto" w:fill="auto"/>
            <w:vAlign w:val="center"/>
          </w:tcPr>
          <w:p w14:paraId="5874D36A">
            <w:pPr>
              <w:autoSpaceDE w:val="0"/>
              <w:autoSpaceDN w:val="0"/>
              <w:jc w:val="center"/>
              <w:rPr>
                <w:rFonts w:ascii="宋体" w:cs="宋体"/>
                <w:kern w:val="0"/>
                <w:sz w:val="18"/>
              </w:rPr>
            </w:pPr>
            <w:r>
              <w:rPr>
                <w:rFonts w:hint="eastAsia" w:ascii="宋体" w:cs="宋体"/>
                <w:kern w:val="0"/>
                <w:sz w:val="18"/>
                <w:szCs w:val="18"/>
              </w:rPr>
              <w:t>项目</w:t>
            </w:r>
          </w:p>
        </w:tc>
        <w:tc>
          <w:tcPr>
            <w:tcW w:w="3630" w:type="dxa"/>
            <w:tcBorders>
              <w:top w:val="single" w:color="auto" w:sz="8" w:space="0"/>
              <w:bottom w:val="single" w:color="auto" w:sz="8" w:space="0"/>
            </w:tcBorders>
            <w:shd w:val="clear" w:color="auto" w:fill="auto"/>
            <w:vAlign w:val="center"/>
          </w:tcPr>
          <w:p w14:paraId="14DF64D9">
            <w:pPr>
              <w:autoSpaceDE w:val="0"/>
              <w:autoSpaceDN w:val="0"/>
              <w:jc w:val="center"/>
              <w:rPr>
                <w:rFonts w:ascii="宋体" w:cs="宋体"/>
                <w:kern w:val="0"/>
                <w:sz w:val="18"/>
              </w:rPr>
            </w:pPr>
            <w:r>
              <w:rPr>
                <w:rFonts w:hint="eastAsia" w:ascii="宋体" w:cs="宋体"/>
                <w:kern w:val="0"/>
                <w:sz w:val="18"/>
                <w:szCs w:val="18"/>
              </w:rPr>
              <w:t>指标</w:t>
            </w:r>
          </w:p>
        </w:tc>
        <w:tc>
          <w:tcPr>
            <w:tcW w:w="2409" w:type="dxa"/>
            <w:tcBorders>
              <w:top w:val="single" w:color="auto" w:sz="8" w:space="0"/>
              <w:bottom w:val="single" w:color="auto" w:sz="8" w:space="0"/>
            </w:tcBorders>
            <w:shd w:val="clear" w:color="auto" w:fill="auto"/>
            <w:vAlign w:val="center"/>
          </w:tcPr>
          <w:p w14:paraId="592C9C6B">
            <w:pPr>
              <w:jc w:val="center"/>
              <w:rPr>
                <w:rFonts w:ascii="宋体"/>
                <w:sz w:val="18"/>
              </w:rPr>
            </w:pPr>
            <w:r>
              <w:rPr>
                <w:rFonts w:hint="eastAsia" w:ascii="宋体"/>
                <w:sz w:val="18"/>
              </w:rPr>
              <w:t>检测方法</w:t>
            </w:r>
          </w:p>
        </w:tc>
      </w:tr>
      <w:tr w14:paraId="5D380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single" w:color="auto" w:sz="8" w:space="0"/>
            </w:tcBorders>
            <w:shd w:val="clear" w:color="auto" w:fill="auto"/>
            <w:vAlign w:val="center"/>
          </w:tcPr>
          <w:p w14:paraId="1478F866">
            <w:pPr>
              <w:autoSpaceDE w:val="0"/>
              <w:autoSpaceDN w:val="0"/>
              <w:rPr>
                <w:rFonts w:ascii="宋体" w:cs="宋体"/>
                <w:kern w:val="0"/>
                <w:sz w:val="18"/>
              </w:rPr>
            </w:pPr>
            <w:r>
              <w:rPr>
                <w:rFonts w:hint="eastAsia" w:ascii="宋体" w:cs="宋体"/>
                <w:kern w:val="0"/>
                <w:sz w:val="18"/>
                <w:szCs w:val="18"/>
              </w:rPr>
              <w:t>水分含量/%                  ≤</w:t>
            </w:r>
          </w:p>
        </w:tc>
        <w:tc>
          <w:tcPr>
            <w:tcW w:w="3630" w:type="dxa"/>
            <w:tcBorders>
              <w:top w:val="single" w:color="auto" w:sz="8" w:space="0"/>
            </w:tcBorders>
            <w:shd w:val="clear" w:color="auto" w:fill="auto"/>
          </w:tcPr>
          <w:p w14:paraId="7FDE0CBC">
            <w:pPr>
              <w:jc w:val="center"/>
              <w:rPr>
                <w:rFonts w:ascii="宋体" w:hAnsi="宋体"/>
                <w:sz w:val="18"/>
                <w:szCs w:val="24"/>
              </w:rPr>
            </w:pPr>
            <w:r>
              <w:rPr>
                <w:rFonts w:hint="eastAsia" w:ascii="宋体" w:hAnsi="宋体"/>
                <w:sz w:val="18"/>
                <w:szCs w:val="24"/>
              </w:rPr>
              <w:t>76</w:t>
            </w:r>
          </w:p>
        </w:tc>
        <w:tc>
          <w:tcPr>
            <w:tcW w:w="2409" w:type="dxa"/>
            <w:tcBorders>
              <w:top w:val="single" w:color="auto" w:sz="8" w:space="0"/>
            </w:tcBorders>
            <w:shd w:val="clear" w:color="auto" w:fill="auto"/>
            <w:vAlign w:val="center"/>
          </w:tcPr>
          <w:p w14:paraId="049B8488">
            <w:pPr>
              <w:jc w:val="center"/>
              <w:rPr>
                <w:rFonts w:ascii="宋体"/>
                <w:sz w:val="18"/>
              </w:rPr>
            </w:pPr>
            <w:r>
              <w:rPr>
                <w:rFonts w:ascii="宋体"/>
                <w:sz w:val="18"/>
              </w:rPr>
              <w:t>GB</w:t>
            </w:r>
            <w:r>
              <w:rPr>
                <w:rFonts w:hint="eastAsia" w:ascii="宋体"/>
                <w:sz w:val="18"/>
              </w:rPr>
              <w:t xml:space="preserve"> 18394</w:t>
            </w:r>
          </w:p>
        </w:tc>
      </w:tr>
      <w:tr w14:paraId="30AD2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shd w:val="clear" w:color="auto" w:fill="auto"/>
            <w:vAlign w:val="center"/>
          </w:tcPr>
          <w:p w14:paraId="4AAB0CE9">
            <w:pPr>
              <w:autoSpaceDE w:val="0"/>
              <w:autoSpaceDN w:val="0"/>
              <w:rPr>
                <w:rFonts w:ascii="宋体" w:cs="宋体"/>
                <w:kern w:val="0"/>
                <w:sz w:val="18"/>
              </w:rPr>
            </w:pPr>
            <w:r>
              <w:rPr>
                <w:rFonts w:hint="eastAsia" w:ascii="宋体" w:cs="宋体"/>
                <w:kern w:val="0"/>
                <w:sz w:val="18"/>
                <w:szCs w:val="18"/>
              </w:rPr>
              <w:t>蛋白质含量/(g/100</w:t>
            </w:r>
            <w:r>
              <w:rPr>
                <w:rFonts w:hint="eastAsia" w:ascii="宋体" w:cs="宋体"/>
                <w:kern w:val="0"/>
                <w:sz w:val="18"/>
                <w:szCs w:val="18"/>
                <w:lang w:val="en-US" w:eastAsia="zh-CN"/>
              </w:rPr>
              <w:t xml:space="preserve"> </w:t>
            </w:r>
            <w:r>
              <w:rPr>
                <w:rFonts w:hint="eastAsia" w:ascii="宋体" w:cs="宋体"/>
                <w:kern w:val="0"/>
                <w:sz w:val="18"/>
                <w:szCs w:val="18"/>
              </w:rPr>
              <w:t>g）        ≥</w:t>
            </w:r>
          </w:p>
        </w:tc>
        <w:tc>
          <w:tcPr>
            <w:tcW w:w="3630" w:type="dxa"/>
            <w:shd w:val="clear" w:color="auto" w:fill="auto"/>
          </w:tcPr>
          <w:p w14:paraId="1F1B1F23">
            <w:pPr>
              <w:jc w:val="center"/>
              <w:rPr>
                <w:rFonts w:ascii="宋体" w:hAnsi="宋体"/>
                <w:sz w:val="18"/>
                <w:szCs w:val="24"/>
              </w:rPr>
            </w:pPr>
            <w:r>
              <w:rPr>
                <w:rFonts w:hint="eastAsia" w:ascii="宋体" w:hAnsi="宋体"/>
                <w:sz w:val="18"/>
                <w:szCs w:val="24"/>
              </w:rPr>
              <w:t>19</w:t>
            </w:r>
          </w:p>
        </w:tc>
        <w:tc>
          <w:tcPr>
            <w:tcW w:w="2409" w:type="dxa"/>
            <w:shd w:val="clear" w:color="auto" w:fill="auto"/>
            <w:vAlign w:val="center"/>
          </w:tcPr>
          <w:p w14:paraId="6E86490B">
            <w:pPr>
              <w:jc w:val="center"/>
              <w:rPr>
                <w:rFonts w:ascii="宋体"/>
                <w:sz w:val="18"/>
              </w:rPr>
            </w:pPr>
            <w:r>
              <w:rPr>
                <w:rFonts w:ascii="宋体"/>
                <w:sz w:val="18"/>
              </w:rPr>
              <w:t>GB5009.</w:t>
            </w:r>
            <w:r>
              <w:rPr>
                <w:rFonts w:hint="eastAsia" w:ascii="宋体"/>
                <w:sz w:val="18"/>
              </w:rPr>
              <w:t>5</w:t>
            </w:r>
          </w:p>
        </w:tc>
      </w:tr>
      <w:tr w14:paraId="4C268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single" w:color="auto" w:sz="4" w:space="0"/>
              <w:bottom w:val="single" w:color="auto" w:sz="4" w:space="0"/>
            </w:tcBorders>
            <w:shd w:val="clear" w:color="auto" w:fill="auto"/>
          </w:tcPr>
          <w:p w14:paraId="7DEC1A72">
            <w:pPr>
              <w:autoSpaceDE w:val="0"/>
              <w:autoSpaceDN w:val="0"/>
              <w:rPr>
                <w:rFonts w:ascii="宋体" w:cs="宋体"/>
                <w:kern w:val="0"/>
                <w:sz w:val="18"/>
                <w:szCs w:val="18"/>
              </w:rPr>
            </w:pPr>
            <w:r>
              <w:rPr>
                <w:rFonts w:hint="eastAsia" w:ascii="宋体" w:cs="宋体"/>
                <w:kern w:val="0"/>
                <w:sz w:val="18"/>
                <w:szCs w:val="18"/>
              </w:rPr>
              <w:t>肌内脂肪含量/(g/100</w:t>
            </w:r>
            <w:r>
              <w:rPr>
                <w:rFonts w:hint="eastAsia" w:ascii="宋体" w:cs="宋体"/>
                <w:kern w:val="0"/>
                <w:sz w:val="18"/>
                <w:szCs w:val="18"/>
                <w:lang w:val="en-US" w:eastAsia="zh-CN"/>
              </w:rPr>
              <w:t xml:space="preserve"> </w:t>
            </w:r>
            <w:r>
              <w:rPr>
                <w:rFonts w:hint="eastAsia" w:ascii="宋体" w:cs="宋体"/>
                <w:kern w:val="0"/>
                <w:sz w:val="18"/>
                <w:szCs w:val="18"/>
              </w:rPr>
              <w:t>g)       ≥</w:t>
            </w:r>
          </w:p>
        </w:tc>
        <w:tc>
          <w:tcPr>
            <w:tcW w:w="3630" w:type="dxa"/>
            <w:tcBorders>
              <w:top w:val="single" w:color="auto" w:sz="4" w:space="0"/>
              <w:bottom w:val="single" w:color="auto" w:sz="4" w:space="0"/>
            </w:tcBorders>
            <w:shd w:val="clear" w:color="auto" w:fill="auto"/>
          </w:tcPr>
          <w:p w14:paraId="65BF7329">
            <w:pPr>
              <w:jc w:val="center"/>
              <w:rPr>
                <w:rFonts w:ascii="宋体" w:hAnsi="宋体"/>
                <w:sz w:val="18"/>
                <w:szCs w:val="24"/>
              </w:rPr>
            </w:pPr>
            <w:r>
              <w:rPr>
                <w:rFonts w:hint="eastAsia" w:ascii="宋体" w:hAnsi="宋体"/>
                <w:sz w:val="18"/>
                <w:szCs w:val="24"/>
              </w:rPr>
              <w:t>2.5</w:t>
            </w:r>
          </w:p>
        </w:tc>
        <w:tc>
          <w:tcPr>
            <w:tcW w:w="2409" w:type="dxa"/>
            <w:tcBorders>
              <w:top w:val="single" w:color="auto" w:sz="4" w:space="0"/>
              <w:bottom w:val="single" w:color="auto" w:sz="4" w:space="0"/>
            </w:tcBorders>
            <w:shd w:val="clear" w:color="auto" w:fill="auto"/>
            <w:vAlign w:val="center"/>
          </w:tcPr>
          <w:p w14:paraId="7CB1CD86">
            <w:pPr>
              <w:autoSpaceDE w:val="0"/>
              <w:autoSpaceDN w:val="0"/>
              <w:jc w:val="center"/>
              <w:rPr>
                <w:rFonts w:ascii="宋体" w:cs="宋体"/>
                <w:kern w:val="0"/>
                <w:sz w:val="18"/>
                <w:szCs w:val="18"/>
              </w:rPr>
            </w:pPr>
            <w:r>
              <w:rPr>
                <w:rFonts w:ascii="宋体"/>
                <w:sz w:val="18"/>
              </w:rPr>
              <w:t>GB</w:t>
            </w:r>
            <w:r>
              <w:rPr>
                <w:rFonts w:hint="eastAsia" w:ascii="宋体"/>
                <w:sz w:val="18"/>
              </w:rPr>
              <w:t xml:space="preserve"> </w:t>
            </w:r>
            <w:r>
              <w:rPr>
                <w:rFonts w:ascii="宋体"/>
                <w:sz w:val="18"/>
              </w:rPr>
              <w:t>5009.</w:t>
            </w:r>
            <w:r>
              <w:rPr>
                <w:rFonts w:hint="eastAsia" w:ascii="宋体"/>
                <w:sz w:val="18"/>
              </w:rPr>
              <w:t>6</w:t>
            </w:r>
          </w:p>
        </w:tc>
      </w:tr>
      <w:tr w14:paraId="6D17A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single" w:color="auto" w:sz="4" w:space="0"/>
              <w:bottom w:val="single" w:color="auto" w:sz="4" w:space="0"/>
            </w:tcBorders>
            <w:shd w:val="clear" w:color="auto" w:fill="auto"/>
          </w:tcPr>
          <w:p w14:paraId="7C439E42">
            <w:pPr>
              <w:autoSpaceDE w:val="0"/>
              <w:autoSpaceDN w:val="0"/>
              <w:rPr>
                <w:rFonts w:ascii="宋体" w:cs="宋体"/>
                <w:kern w:val="0"/>
                <w:sz w:val="18"/>
                <w:szCs w:val="18"/>
              </w:rPr>
            </w:pPr>
            <w:r>
              <w:rPr>
                <w:rFonts w:hint="eastAsia" w:ascii="宋体" w:cs="宋体"/>
                <w:kern w:val="0"/>
                <w:sz w:val="18"/>
                <w:szCs w:val="18"/>
              </w:rPr>
              <w:t>多不饱和脂肪酸含量/%        ≥</w:t>
            </w:r>
          </w:p>
        </w:tc>
        <w:tc>
          <w:tcPr>
            <w:tcW w:w="3630" w:type="dxa"/>
            <w:tcBorders>
              <w:top w:val="single" w:color="auto" w:sz="4" w:space="0"/>
              <w:bottom w:val="single" w:color="auto" w:sz="4" w:space="0"/>
            </w:tcBorders>
            <w:shd w:val="clear" w:color="auto" w:fill="auto"/>
          </w:tcPr>
          <w:p w14:paraId="491B4D1A">
            <w:pPr>
              <w:jc w:val="center"/>
              <w:rPr>
                <w:rFonts w:ascii="宋体" w:hAnsi="宋体"/>
                <w:sz w:val="18"/>
                <w:szCs w:val="24"/>
              </w:rPr>
            </w:pPr>
            <w:r>
              <w:rPr>
                <w:rFonts w:hint="eastAsia" w:ascii="宋体" w:hAnsi="宋体"/>
                <w:sz w:val="18"/>
                <w:szCs w:val="24"/>
              </w:rPr>
              <w:t>2.5</w:t>
            </w:r>
          </w:p>
        </w:tc>
        <w:tc>
          <w:tcPr>
            <w:tcW w:w="2409" w:type="dxa"/>
            <w:tcBorders>
              <w:top w:val="single" w:color="auto" w:sz="4" w:space="0"/>
              <w:bottom w:val="single" w:color="auto" w:sz="4" w:space="0"/>
            </w:tcBorders>
            <w:shd w:val="clear" w:color="auto" w:fill="auto"/>
            <w:vAlign w:val="center"/>
          </w:tcPr>
          <w:p w14:paraId="3769B37D">
            <w:pPr>
              <w:autoSpaceDE w:val="0"/>
              <w:autoSpaceDN w:val="0"/>
              <w:jc w:val="center"/>
              <w:rPr>
                <w:rFonts w:ascii="宋体" w:cs="宋体"/>
                <w:kern w:val="0"/>
                <w:sz w:val="18"/>
                <w:szCs w:val="18"/>
              </w:rPr>
            </w:pPr>
            <w:r>
              <w:rPr>
                <w:rFonts w:hint="eastAsia" w:ascii="宋体" w:cs="宋体"/>
                <w:kern w:val="0"/>
                <w:sz w:val="18"/>
                <w:szCs w:val="18"/>
              </w:rPr>
              <w:t>GB 5009.168</w:t>
            </w:r>
          </w:p>
        </w:tc>
      </w:tr>
      <w:tr w14:paraId="004DD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11" w:type="dxa"/>
            <w:gridSpan w:val="3"/>
            <w:tcBorders>
              <w:top w:val="single" w:color="auto" w:sz="4" w:space="0"/>
            </w:tcBorders>
            <w:shd w:val="clear" w:color="auto" w:fill="auto"/>
          </w:tcPr>
          <w:p w14:paraId="3EC0AA30">
            <w:pPr>
              <w:pStyle w:val="105"/>
              <w:numPr>
                <w:ilvl w:val="0"/>
                <w:numId w:val="0"/>
              </w:numPr>
              <w:ind w:left="420"/>
            </w:pPr>
            <w:r>
              <w:rPr>
                <w:rFonts w:hint="eastAsia" w:ascii="黑体" w:hAnsi="黑体" w:eastAsia="黑体" w:cs="黑体"/>
              </w:rPr>
              <w:t>注：</w:t>
            </w:r>
            <w:r>
              <w:t>按GB/T 9695.19 的规定取样，割取肌肉部分。</w:t>
            </w:r>
          </w:p>
        </w:tc>
      </w:tr>
    </w:tbl>
    <w:p w14:paraId="4436298D">
      <w:pPr>
        <w:pStyle w:val="109"/>
        <w:spacing w:before="120" w:after="120"/>
      </w:pPr>
      <w:r>
        <w:rPr>
          <w:rFonts w:hint="eastAsia"/>
        </w:rPr>
        <w:t>食用品质要求</w:t>
      </w:r>
    </w:p>
    <w:p w14:paraId="6CE4DC77">
      <w:pPr>
        <w:pStyle w:val="60"/>
        <w:ind w:firstLine="420"/>
      </w:pPr>
      <w:r>
        <w:rPr>
          <w:rFonts w:hint="eastAsia"/>
          <w:szCs w:val="21"/>
        </w:rPr>
        <w:t>应符合</w:t>
      </w:r>
      <w:r>
        <w:rPr>
          <w:rFonts w:hint="eastAsia" w:hAnsi="Calibri" w:cs="宋体"/>
          <w:szCs w:val="21"/>
        </w:rPr>
        <w:t>NY/T 2793</w:t>
      </w:r>
      <w:r>
        <w:rPr>
          <w:rFonts w:hint="eastAsia"/>
          <w:szCs w:val="21"/>
        </w:rPr>
        <w:t>的规定</w:t>
      </w:r>
      <w:r>
        <w:rPr>
          <w:rFonts w:hint="eastAsia"/>
        </w:rPr>
        <w:t>。</w:t>
      </w:r>
    </w:p>
    <w:p w14:paraId="22EAAC15">
      <w:pPr>
        <w:pStyle w:val="109"/>
        <w:spacing w:before="120" w:after="120"/>
      </w:pPr>
      <w:r>
        <w:rPr>
          <w:rFonts w:hint="eastAsia"/>
        </w:rPr>
        <w:t>安全指标要求</w:t>
      </w:r>
    </w:p>
    <w:p w14:paraId="1FD85602">
      <w:pPr>
        <w:pStyle w:val="69"/>
        <w:spacing w:before="120" w:after="120"/>
      </w:pPr>
      <w:r>
        <w:rPr>
          <w:rFonts w:hint="eastAsia"/>
        </w:rPr>
        <w:t>微生物指标</w:t>
      </w:r>
    </w:p>
    <w:p w14:paraId="49683CEE">
      <w:pPr>
        <w:pStyle w:val="234"/>
      </w:pPr>
      <w:r>
        <w:rPr>
          <w:rFonts w:hint="eastAsia"/>
        </w:rPr>
        <w:t>菌落总数、大肠菌群和致病菌指标应符合NY/T 2799的规定。</w:t>
      </w:r>
    </w:p>
    <w:p w14:paraId="3EF644C3">
      <w:pPr>
        <w:pStyle w:val="69"/>
        <w:spacing w:before="120" w:after="120"/>
      </w:pPr>
      <w:r>
        <w:rPr>
          <w:rFonts w:hint="eastAsia"/>
        </w:rPr>
        <w:t>污染物限量</w:t>
      </w:r>
    </w:p>
    <w:p w14:paraId="08B8BF90">
      <w:pPr>
        <w:pStyle w:val="234"/>
      </w:pPr>
      <w:r>
        <w:rPr>
          <w:rFonts w:hint="eastAsia"/>
        </w:rPr>
        <w:t>应符合GB 2762 的规定，其中铅≤0.15 mg/kg。</w:t>
      </w:r>
    </w:p>
    <w:p w14:paraId="3299BF2B">
      <w:pPr>
        <w:pStyle w:val="69"/>
        <w:spacing w:before="120" w:after="120"/>
      </w:pPr>
      <w:r>
        <w:rPr>
          <w:rFonts w:hint="eastAsia"/>
        </w:rPr>
        <w:t>农药残留限量</w:t>
      </w:r>
    </w:p>
    <w:p w14:paraId="4F47B5E1">
      <w:pPr>
        <w:pStyle w:val="60"/>
        <w:ind w:firstLine="420"/>
      </w:pPr>
      <w:r>
        <w:t>应符合</w:t>
      </w:r>
      <w:r>
        <w:rPr>
          <w:rFonts w:hint="eastAsia"/>
        </w:rPr>
        <w:t>GB 276</w:t>
      </w:r>
      <w:r>
        <w:t>3</w:t>
      </w:r>
      <w:r>
        <w:rPr>
          <w:rFonts w:hint="eastAsia"/>
        </w:rPr>
        <w:t>的规定。</w:t>
      </w:r>
    </w:p>
    <w:p w14:paraId="0D1949BD">
      <w:pPr>
        <w:pStyle w:val="69"/>
        <w:spacing w:before="120" w:after="120"/>
      </w:pPr>
      <w:r>
        <w:rPr>
          <w:rFonts w:hint="eastAsia"/>
        </w:rPr>
        <w:t>兽药残留限量</w:t>
      </w:r>
    </w:p>
    <w:p w14:paraId="1E2E98B3">
      <w:pPr>
        <w:pStyle w:val="60"/>
        <w:ind w:firstLine="420"/>
      </w:pPr>
      <w:r>
        <w:rPr>
          <w:rFonts w:hint="eastAsia"/>
        </w:rPr>
        <w:t>应符合GB 31650和国家有关公告的</w:t>
      </w:r>
      <w:r>
        <w:t>规定</w:t>
      </w:r>
      <w:r>
        <w:rPr>
          <w:rFonts w:hint="eastAsia"/>
        </w:rPr>
        <w:t>。</w:t>
      </w:r>
    </w:p>
    <w:p w14:paraId="7CA4D7FA">
      <w:pPr>
        <w:pStyle w:val="69"/>
        <w:spacing w:before="120" w:after="120"/>
      </w:pPr>
      <w:r>
        <w:rPr>
          <w:rFonts w:hint="eastAsia"/>
        </w:rPr>
        <w:t>挥发性盐基氮</w:t>
      </w:r>
    </w:p>
    <w:p w14:paraId="5AFE8090">
      <w:pPr>
        <w:pStyle w:val="168"/>
        <w:numPr>
          <w:ilvl w:val="4"/>
          <w:numId w:val="0"/>
        </w:numPr>
        <w:ind w:firstLine="420" w:firstLineChars="200"/>
      </w:pPr>
      <w:r>
        <w:rPr>
          <w:rFonts w:hint="eastAsia"/>
        </w:rPr>
        <w:t>应符合GB 2707的规定，检测方法应符合GB 5009.228的规定。</w:t>
      </w:r>
    </w:p>
    <w:p w14:paraId="70970022">
      <w:pPr>
        <w:pStyle w:val="108"/>
        <w:spacing w:before="240" w:after="240"/>
      </w:pPr>
      <w:bookmarkStart w:id="36" w:name="OLE_LINK1"/>
      <w:r>
        <w:rPr>
          <w:rFonts w:hint="eastAsia"/>
        </w:rPr>
        <w:t>包装、标识、贮存与运输</w:t>
      </w:r>
      <w:bookmarkEnd w:id="36"/>
    </w:p>
    <w:p w14:paraId="6BED00CD">
      <w:pPr>
        <w:pStyle w:val="109"/>
        <w:spacing w:before="120" w:after="120"/>
      </w:pPr>
      <w:r>
        <w:rPr>
          <w:rFonts w:hint="eastAsia"/>
        </w:rPr>
        <w:t>包装要求</w:t>
      </w:r>
    </w:p>
    <w:p w14:paraId="7E449A67">
      <w:pPr>
        <w:widowControl/>
        <w:numPr>
          <w:ilvl w:val="4"/>
          <w:numId w:val="0"/>
        </w:numPr>
        <w:ind w:firstLine="420" w:firstLineChars="200"/>
        <w:rPr>
          <w:rFonts w:ascii="宋体" w:hAnsi="Times New Roman"/>
        </w:rPr>
      </w:pPr>
      <w:r>
        <w:rPr>
          <w:rFonts w:hint="eastAsia" w:ascii="宋体" w:hAnsi="宋体"/>
          <w:szCs w:val="24"/>
        </w:rPr>
        <w:t>应符合GB 7718和NY/T 3383的规定。</w:t>
      </w:r>
    </w:p>
    <w:p w14:paraId="28E44AD8">
      <w:pPr>
        <w:pStyle w:val="109"/>
        <w:spacing w:before="120" w:after="120"/>
      </w:pPr>
      <w:r>
        <w:rPr>
          <w:rFonts w:hint="eastAsia"/>
        </w:rPr>
        <w:t>标识要求</w:t>
      </w:r>
    </w:p>
    <w:p w14:paraId="591809D3">
      <w:pPr>
        <w:pStyle w:val="169"/>
      </w:pPr>
      <w:r>
        <w:rPr>
          <w:rFonts w:hint="eastAsia"/>
        </w:rPr>
        <w:t xml:space="preserve">运输包装上的图形标志应符合GB/T 191的规定。 </w:t>
      </w:r>
    </w:p>
    <w:p w14:paraId="0A3DB6D4">
      <w:pPr>
        <w:pStyle w:val="169"/>
      </w:pPr>
      <w:r>
        <w:rPr>
          <w:rFonts w:hint="eastAsia"/>
        </w:rPr>
        <w:t xml:space="preserve">包装上有关认证标志和商标等的印刷、加贴应符合有关法规及标准要求。 </w:t>
      </w:r>
    </w:p>
    <w:p w14:paraId="7C9B87F4">
      <w:pPr>
        <w:pStyle w:val="109"/>
        <w:spacing w:before="120" w:after="120"/>
      </w:pPr>
      <w:r>
        <w:rPr>
          <w:rFonts w:hint="eastAsia"/>
        </w:rPr>
        <w:t>贮存要求</w:t>
      </w:r>
    </w:p>
    <w:p w14:paraId="75BB8A88">
      <w:pPr>
        <w:pStyle w:val="169"/>
      </w:pPr>
      <w:r>
        <w:rPr>
          <w:rFonts w:hint="eastAsia"/>
        </w:rPr>
        <w:t>贮存场所应洁净卫生，有相应的防虫鼠措施。</w:t>
      </w:r>
    </w:p>
    <w:p w14:paraId="36BE7D04">
      <w:pPr>
        <w:pStyle w:val="169"/>
      </w:pPr>
      <w:r>
        <w:rPr>
          <w:rFonts w:hint="eastAsia"/>
        </w:rPr>
        <w:t>冷鲜肉的贮存温度应为0 ℃～4 ℃。</w:t>
      </w:r>
    </w:p>
    <w:p w14:paraId="44CED4CD">
      <w:pPr>
        <w:pStyle w:val="169"/>
      </w:pPr>
      <w:r>
        <w:rPr>
          <w:rFonts w:hint="eastAsia"/>
        </w:rPr>
        <w:t>冷冻肉的贮存温度为≤-18 ℃。</w:t>
      </w:r>
    </w:p>
    <w:p w14:paraId="4DC687DA">
      <w:pPr>
        <w:pStyle w:val="109"/>
        <w:spacing w:before="120" w:after="120"/>
      </w:pPr>
      <w:r>
        <w:rPr>
          <w:rFonts w:hint="eastAsia"/>
        </w:rPr>
        <w:t>运输要求</w:t>
      </w:r>
    </w:p>
    <w:p w14:paraId="545685B1">
      <w:pPr>
        <w:pStyle w:val="169"/>
      </w:pPr>
      <w:r>
        <w:rPr>
          <w:rFonts w:hint="eastAsia"/>
        </w:rPr>
        <w:t>应采用冷链运输，符合GB/T 28640的要求。</w:t>
      </w:r>
    </w:p>
    <w:p w14:paraId="1653CCCB">
      <w:pPr>
        <w:pStyle w:val="169"/>
      </w:pPr>
      <w:r>
        <w:rPr>
          <w:rFonts w:hint="eastAsia"/>
        </w:rPr>
        <w:t>应使用清洁、干燥、无异味、符合卫生要求的冷藏车或保温车。</w:t>
      </w:r>
    </w:p>
    <w:p w14:paraId="27E43408">
      <w:pPr>
        <w:pStyle w:val="169"/>
      </w:pPr>
      <w:r>
        <w:rPr>
          <w:rFonts w:hint="eastAsia"/>
        </w:rPr>
        <w:t>运输时</w:t>
      </w:r>
      <w:r>
        <w:rPr>
          <w:rStyle w:val="36"/>
          <w:rFonts w:hint="eastAsia" w:ascii="Calibri" w:hAnsi="Calibri"/>
          <w:kern w:val="2"/>
        </w:rPr>
        <w:t>不应</w:t>
      </w:r>
      <w:r>
        <w:rPr>
          <w:rFonts w:hint="eastAsia"/>
        </w:rPr>
        <w:t>与有毒、有害、有污染的物品混装。</w:t>
      </w:r>
    </w:p>
    <w:p w14:paraId="78ACD7CB">
      <w:pPr>
        <w:pStyle w:val="108"/>
        <w:spacing w:before="240" w:after="240"/>
      </w:pPr>
      <w:r>
        <w:rPr>
          <w:rFonts w:hint="eastAsia"/>
        </w:rPr>
        <w:t>无害化处理</w:t>
      </w:r>
    </w:p>
    <w:p w14:paraId="19DF6C20">
      <w:pPr>
        <w:pStyle w:val="60"/>
        <w:ind w:firstLine="420"/>
      </w:pPr>
      <w:r>
        <w:rPr>
          <w:rFonts w:hint="eastAsia"/>
        </w:rPr>
        <w:t>经检验检疫不合格的羊只及其产品、加工过程中的废弃物，应按照《病死及病害动物无害化处理技术规范》和GB 12694的规定执行。</w:t>
      </w:r>
    </w:p>
    <w:p w14:paraId="2B43D853">
      <w:pPr>
        <w:pStyle w:val="108"/>
        <w:spacing w:before="240" w:after="240"/>
      </w:pPr>
      <w:r>
        <w:rPr>
          <w:rFonts w:hint="eastAsia"/>
        </w:rPr>
        <w:t>追溯要求</w:t>
      </w:r>
    </w:p>
    <w:p w14:paraId="64CEB3AE">
      <w:pPr>
        <w:pStyle w:val="60"/>
        <w:ind w:firstLine="420"/>
      </w:pPr>
      <w:r>
        <w:rPr>
          <w:rFonts w:hint="eastAsia"/>
        </w:rPr>
        <w:t>应符合GB/T 40465的规定。</w:t>
      </w:r>
    </w:p>
    <w:p w14:paraId="68CFF7A5">
      <w:pPr>
        <w:pStyle w:val="108"/>
        <w:spacing w:before="240" w:after="240"/>
      </w:pPr>
      <w:bookmarkStart w:id="37" w:name="OLE_LINK2"/>
      <w:r>
        <w:rPr>
          <w:rFonts w:hint="eastAsia"/>
        </w:rPr>
        <w:t>记录和文件</w:t>
      </w:r>
      <w:bookmarkEnd w:id="37"/>
    </w:p>
    <w:p w14:paraId="0D5C6231">
      <w:pPr>
        <w:pStyle w:val="166"/>
      </w:pPr>
      <w:r>
        <w:rPr>
          <w:rFonts w:hint="eastAsia"/>
        </w:rPr>
        <w:t>养殖的记录和档案管理参照</w:t>
      </w:r>
      <w:r>
        <w:t>农业</w:t>
      </w:r>
      <w:r>
        <w:rPr>
          <w:rFonts w:hint="eastAsia"/>
        </w:rPr>
        <w:t>农村</w:t>
      </w:r>
      <w:r>
        <w:t>部</w:t>
      </w:r>
      <w:r>
        <w:rPr>
          <w:rFonts w:hint="eastAsia"/>
        </w:rPr>
        <w:t>《畜禽标识和养殖档案管理办法》。</w:t>
      </w:r>
    </w:p>
    <w:p w14:paraId="2C2F9ED6">
      <w:pPr>
        <w:pStyle w:val="166"/>
      </w:pPr>
      <w:r>
        <w:rPr>
          <w:rFonts w:hint="eastAsia"/>
        </w:rPr>
        <w:t>屠宰加工过程记录和</w:t>
      </w:r>
      <w:r>
        <w:t>文件管理</w:t>
      </w:r>
      <w:r>
        <w:rPr>
          <w:rFonts w:hint="eastAsia"/>
        </w:rPr>
        <w:t>应符合GB 12694的</w:t>
      </w:r>
      <w:r>
        <w:t>规定</w:t>
      </w:r>
      <w:r>
        <w:rPr>
          <w:rFonts w:hint="eastAsia"/>
        </w:rPr>
        <w:t>。</w:t>
      </w:r>
    </w:p>
    <w:bookmarkEnd w:id="6"/>
    <w:p w14:paraId="6DFB734C">
      <w:pPr>
        <w:pStyle w:val="60"/>
        <w:ind w:firstLine="0" w:firstLineChars="0"/>
      </w:pPr>
      <w:bookmarkStart w:id="38" w:name="BookMark6"/>
    </w:p>
    <w:p w14:paraId="62832437">
      <w:pPr>
        <w:pStyle w:val="60"/>
        <w:ind w:firstLine="420"/>
      </w:pPr>
    </w:p>
    <w:bookmarkEnd w:id="38"/>
    <w:p w14:paraId="5C114AB0">
      <w:pPr>
        <w:pStyle w:val="60"/>
        <w:ind w:firstLine="0" w:firstLineChars="0"/>
        <w:jc w:val="center"/>
      </w:pPr>
      <w:bookmarkStart w:id="39"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headerReference r:id="rId13" w:type="default"/>
      <w:footerReference r:id="rId15" w:type="default"/>
      <w:headerReference r:id="rId14" w:type="even"/>
      <w:footerReference r:id="rId16" w:type="even"/>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C5D0">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E398">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CD1E">
    <w:pPr>
      <w:pStyle w:val="56"/>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D368">
    <w:pPr>
      <w:pStyle w:val="55"/>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462A1">
    <w:pPr>
      <w:pStyle w:val="56"/>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3FF3">
    <w:pPr>
      <w:pStyle w:val="55"/>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379A">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A94E">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1EFEF">
    <w:pPr>
      <w:pStyle w:val="65"/>
    </w:pPr>
    <w:r>
      <w:fldChar w:fldCharType="begin"/>
    </w:r>
    <w:r>
      <w:instrText xml:space="preserve"> STYLEREF  标准文件_文件编号  \* MERGEFORMAT </w:instrText>
    </w:r>
    <w:r>
      <w:fldChar w:fldCharType="separate"/>
    </w:r>
    <w:r>
      <w:t>T/XXX.XXXX—XXXX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030C0">
    <w:pPr>
      <w:pStyle w:val="66"/>
    </w:pPr>
    <w:r>
      <w:fldChar w:fldCharType="begin"/>
    </w:r>
    <w:r>
      <w:instrText xml:space="preserve"> STYLEREF  标准文件_文件编号 \* MERGEFORMAT </w:instrText>
    </w:r>
    <w:r>
      <w:fldChar w:fldCharType="separate"/>
    </w:r>
    <w:r>
      <w:t>T/XXX.XXXX—XXXX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ED16">
    <w:pPr>
      <w:pStyle w:val="65"/>
    </w:pPr>
    <w:r>
      <w:fldChar w:fldCharType="begin"/>
    </w:r>
    <w:r>
      <w:instrText xml:space="preserve"> STYLEREF  标准文件_文件编号  \* MERGEFORMAT </w:instrText>
    </w:r>
    <w:r>
      <w:fldChar w:fldCharType="separate"/>
    </w:r>
    <w:r>
      <w:t>T/XXX.XXXX—XXXX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2B32">
    <w:pPr>
      <w:pStyle w:val="66"/>
    </w:pPr>
    <w:r>
      <w:fldChar w:fldCharType="begin"/>
    </w:r>
    <w:r>
      <w:instrText xml:space="preserve"> STYLEREF  标准文件_文件编号 \* MERGEFORMAT </w:instrText>
    </w:r>
    <w:r>
      <w:fldChar w:fldCharType="separate"/>
    </w:r>
    <w:r>
      <w:t>T/XXX.XXXX—XXXX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8"/>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0" w:firstLine="0"/>
      </w:pPr>
      <w:rPr>
        <w:rFonts w:hint="eastAsia" w:ascii="黑体" w:hAnsi="Times New Roman" w:eastAsia="黑体"/>
        <w:b w:val="0"/>
        <w:i w:val="0"/>
        <w:sz w:val="21"/>
      </w:rPr>
    </w:lvl>
    <w:lvl w:ilvl="4" w:tentative="0">
      <w:start w:val="1"/>
      <w:numFmt w:val="decimal"/>
      <w:pStyle w:val="244"/>
      <w:suff w:val="nothing"/>
      <w:lvlText w:val="%1.%2.%3.%4.%5　"/>
      <w:lvlJc w:val="left"/>
      <w:pPr>
        <w:ind w:left="0" w:firstLine="0"/>
      </w:pPr>
      <w:rPr>
        <w:rFonts w:hint="eastAsia" w:ascii="黑体" w:hAnsi="Times New Roman" w:eastAsia="黑体"/>
        <w:b w:val="0"/>
        <w:i w:val="0"/>
        <w:sz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24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246"/>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24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18"/>
  </w:num>
  <w:num w:numId="17">
    <w:abstractNumId w:val="30"/>
  </w:num>
  <w:num w:numId="18">
    <w:abstractNumId w:val="16"/>
  </w:num>
  <w:num w:numId="19">
    <w:abstractNumId w:val="1"/>
  </w:num>
  <w:num w:numId="20">
    <w:abstractNumId w:val="31"/>
  </w:num>
  <w:num w:numId="21">
    <w:abstractNumId w:val="21"/>
  </w:num>
  <w:num w:numId="22">
    <w:abstractNumId w:val="6"/>
  </w:num>
  <w:num w:numId="23">
    <w:abstractNumId w:val="11"/>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YTgyMTI2MTZjMjExOTQ4ZDAyNWU0MmNkM2MyOGUifQ=="/>
    <w:docVar w:name="KSO_WPS_MARK_KEY" w:val="afe0206a-c768-4dc5-b6b6-692365813f8f"/>
  </w:docVars>
  <w:rsids>
    <w:rsidRoot w:val="00172A27"/>
    <w:rsid w:val="0000040A"/>
    <w:rsid w:val="00000A94"/>
    <w:rsid w:val="00001972"/>
    <w:rsid w:val="00001D9A"/>
    <w:rsid w:val="00007B3A"/>
    <w:rsid w:val="000107E0"/>
    <w:rsid w:val="00011FDE"/>
    <w:rsid w:val="00012FFD"/>
    <w:rsid w:val="000140F4"/>
    <w:rsid w:val="00014162"/>
    <w:rsid w:val="00014340"/>
    <w:rsid w:val="00016A9C"/>
    <w:rsid w:val="00022184"/>
    <w:rsid w:val="00022762"/>
    <w:rsid w:val="000238E0"/>
    <w:rsid w:val="00024751"/>
    <w:rsid w:val="000249DB"/>
    <w:rsid w:val="0002595E"/>
    <w:rsid w:val="000303C3"/>
    <w:rsid w:val="000331D3"/>
    <w:rsid w:val="00033A26"/>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022"/>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26A"/>
    <w:rsid w:val="000A7311"/>
    <w:rsid w:val="000B060F"/>
    <w:rsid w:val="000B1592"/>
    <w:rsid w:val="000B1FF2"/>
    <w:rsid w:val="000B3CDA"/>
    <w:rsid w:val="000B4622"/>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123"/>
    <w:rsid w:val="000E4C9E"/>
    <w:rsid w:val="000E6FD7"/>
    <w:rsid w:val="000F06E1"/>
    <w:rsid w:val="000F0E3C"/>
    <w:rsid w:val="000F19D5"/>
    <w:rsid w:val="000F4050"/>
    <w:rsid w:val="000F4AEA"/>
    <w:rsid w:val="000F67E9"/>
    <w:rsid w:val="00104926"/>
    <w:rsid w:val="00104D9B"/>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6D4"/>
    <w:rsid w:val="00153C7E"/>
    <w:rsid w:val="00156B25"/>
    <w:rsid w:val="00156E1A"/>
    <w:rsid w:val="00157894"/>
    <w:rsid w:val="00157B55"/>
    <w:rsid w:val="001642FA"/>
    <w:rsid w:val="001649EB"/>
    <w:rsid w:val="00164BAF"/>
    <w:rsid w:val="00164FA8"/>
    <w:rsid w:val="00165065"/>
    <w:rsid w:val="00165434"/>
    <w:rsid w:val="0016580B"/>
    <w:rsid w:val="00165EB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13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D6E"/>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31"/>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FD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032"/>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AB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27"/>
    <w:rsid w:val="00397CC5"/>
    <w:rsid w:val="003A1582"/>
    <w:rsid w:val="003A3D9C"/>
    <w:rsid w:val="003A4077"/>
    <w:rsid w:val="003A4AA7"/>
    <w:rsid w:val="003B09AD"/>
    <w:rsid w:val="003B1F18"/>
    <w:rsid w:val="003B5BF0"/>
    <w:rsid w:val="003B60BF"/>
    <w:rsid w:val="003B6BE3"/>
    <w:rsid w:val="003C010C"/>
    <w:rsid w:val="003C0A6C"/>
    <w:rsid w:val="003C0DD3"/>
    <w:rsid w:val="003C0ED0"/>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B80"/>
    <w:rsid w:val="00430B30"/>
    <w:rsid w:val="00432DAA"/>
    <w:rsid w:val="00434305"/>
    <w:rsid w:val="00435DF7"/>
    <w:rsid w:val="004378E9"/>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025"/>
    <w:rsid w:val="004969A1"/>
    <w:rsid w:val="004A07AF"/>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874"/>
    <w:rsid w:val="004E4AA5"/>
    <w:rsid w:val="004E4AEE"/>
    <w:rsid w:val="004E59E3"/>
    <w:rsid w:val="004E67C0"/>
    <w:rsid w:val="004F01FA"/>
    <w:rsid w:val="004F2AA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4D"/>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3B07"/>
    <w:rsid w:val="00596160"/>
    <w:rsid w:val="005966E2"/>
    <w:rsid w:val="00597007"/>
    <w:rsid w:val="005A0966"/>
    <w:rsid w:val="005A11B7"/>
    <w:rsid w:val="005A21F5"/>
    <w:rsid w:val="005A260B"/>
    <w:rsid w:val="005A4A1B"/>
    <w:rsid w:val="005A5AD4"/>
    <w:rsid w:val="005A7830"/>
    <w:rsid w:val="005A7FCE"/>
    <w:rsid w:val="005B0F3F"/>
    <w:rsid w:val="005B191C"/>
    <w:rsid w:val="005B4903"/>
    <w:rsid w:val="005B51CE"/>
    <w:rsid w:val="005B5885"/>
    <w:rsid w:val="005B5CD7"/>
    <w:rsid w:val="005B6CF6"/>
    <w:rsid w:val="005B7422"/>
    <w:rsid w:val="005C29B8"/>
    <w:rsid w:val="005C5F21"/>
    <w:rsid w:val="005C7156"/>
    <w:rsid w:val="005C7EFF"/>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624"/>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71E"/>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0D7C"/>
    <w:rsid w:val="006C1BBA"/>
    <w:rsid w:val="006C2079"/>
    <w:rsid w:val="006C5A62"/>
    <w:rsid w:val="006C5D68"/>
    <w:rsid w:val="006C6976"/>
    <w:rsid w:val="006C6DD0"/>
    <w:rsid w:val="006D04EA"/>
    <w:rsid w:val="006D16C4"/>
    <w:rsid w:val="006D3E96"/>
    <w:rsid w:val="006D4515"/>
    <w:rsid w:val="006D4BB1"/>
    <w:rsid w:val="006D6593"/>
    <w:rsid w:val="006E521E"/>
    <w:rsid w:val="006F03A8"/>
    <w:rsid w:val="006F2ACA"/>
    <w:rsid w:val="006F2ADC"/>
    <w:rsid w:val="006F2BFE"/>
    <w:rsid w:val="006F31E9"/>
    <w:rsid w:val="006F6284"/>
    <w:rsid w:val="007002C5"/>
    <w:rsid w:val="0070047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171"/>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08B1"/>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414"/>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08C"/>
    <w:rsid w:val="008603CE"/>
    <w:rsid w:val="008620FC"/>
    <w:rsid w:val="008627A5"/>
    <w:rsid w:val="00863E05"/>
    <w:rsid w:val="00865ACA"/>
    <w:rsid w:val="00865D28"/>
    <w:rsid w:val="00865F85"/>
    <w:rsid w:val="00867C10"/>
    <w:rsid w:val="008703FC"/>
    <w:rsid w:val="00870439"/>
    <w:rsid w:val="00870DA1"/>
    <w:rsid w:val="00883F93"/>
    <w:rsid w:val="00884DB3"/>
    <w:rsid w:val="00885A9D"/>
    <w:rsid w:val="008864F6"/>
    <w:rsid w:val="0089049D"/>
    <w:rsid w:val="008928C9"/>
    <w:rsid w:val="008930CB"/>
    <w:rsid w:val="008938DC"/>
    <w:rsid w:val="00893FD1"/>
    <w:rsid w:val="00894836"/>
    <w:rsid w:val="00895172"/>
    <w:rsid w:val="008953F8"/>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FEA"/>
    <w:rsid w:val="008B7E05"/>
    <w:rsid w:val="008C1797"/>
    <w:rsid w:val="008C219C"/>
    <w:rsid w:val="008C261D"/>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A04"/>
    <w:rsid w:val="008E4BB6"/>
    <w:rsid w:val="008E5518"/>
    <w:rsid w:val="008E6A84"/>
    <w:rsid w:val="008F0CDC"/>
    <w:rsid w:val="008F17A3"/>
    <w:rsid w:val="008F1ED3"/>
    <w:rsid w:val="008F4C29"/>
    <w:rsid w:val="008F70BD"/>
    <w:rsid w:val="008F788F"/>
    <w:rsid w:val="008F7EA2"/>
    <w:rsid w:val="00902722"/>
    <w:rsid w:val="009027BC"/>
    <w:rsid w:val="009062E6"/>
    <w:rsid w:val="00907DA8"/>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2F2"/>
    <w:rsid w:val="009911AF"/>
    <w:rsid w:val="00991875"/>
    <w:rsid w:val="00991F92"/>
    <w:rsid w:val="00992985"/>
    <w:rsid w:val="00993889"/>
    <w:rsid w:val="00993CBA"/>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995"/>
    <w:rsid w:val="009B6029"/>
    <w:rsid w:val="009B6971"/>
    <w:rsid w:val="009C27F1"/>
    <w:rsid w:val="009C3152"/>
    <w:rsid w:val="009C3257"/>
    <w:rsid w:val="009C4CFA"/>
    <w:rsid w:val="009C5070"/>
    <w:rsid w:val="009D112C"/>
    <w:rsid w:val="009D1385"/>
    <w:rsid w:val="009D38EA"/>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1E2"/>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93D"/>
    <w:rsid w:val="00AD4126"/>
    <w:rsid w:val="00AD421C"/>
    <w:rsid w:val="00AD44FA"/>
    <w:rsid w:val="00AE070A"/>
    <w:rsid w:val="00AE101C"/>
    <w:rsid w:val="00AE2A69"/>
    <w:rsid w:val="00AE37E5"/>
    <w:rsid w:val="00AE5EB4"/>
    <w:rsid w:val="00AF0C18"/>
    <w:rsid w:val="00AF47C5"/>
    <w:rsid w:val="00AF5398"/>
    <w:rsid w:val="00AF775F"/>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E57"/>
    <w:rsid w:val="00B52120"/>
    <w:rsid w:val="00B54ABC"/>
    <w:rsid w:val="00B55DAC"/>
    <w:rsid w:val="00B56FBE"/>
    <w:rsid w:val="00B6053A"/>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16"/>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70A4"/>
    <w:rsid w:val="00C521D6"/>
    <w:rsid w:val="00C55232"/>
    <w:rsid w:val="00C553A4"/>
    <w:rsid w:val="00C55A06"/>
    <w:rsid w:val="00C55D03"/>
    <w:rsid w:val="00C601BC"/>
    <w:rsid w:val="00C6329F"/>
    <w:rsid w:val="00C63340"/>
    <w:rsid w:val="00C643F9"/>
    <w:rsid w:val="00C64E95"/>
    <w:rsid w:val="00C71372"/>
    <w:rsid w:val="00C72410"/>
    <w:rsid w:val="00C7287F"/>
    <w:rsid w:val="00C76F5F"/>
    <w:rsid w:val="00C80CB8"/>
    <w:rsid w:val="00C819F8"/>
    <w:rsid w:val="00C8248C"/>
    <w:rsid w:val="00C848A2"/>
    <w:rsid w:val="00C84E33"/>
    <w:rsid w:val="00C86D6F"/>
    <w:rsid w:val="00C905FC"/>
    <w:rsid w:val="00C92D03"/>
    <w:rsid w:val="00C9319C"/>
    <w:rsid w:val="00C9435D"/>
    <w:rsid w:val="00C945E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369"/>
    <w:rsid w:val="00D06AB1"/>
    <w:rsid w:val="00D06FC1"/>
    <w:rsid w:val="00D072ED"/>
    <w:rsid w:val="00D07A16"/>
    <w:rsid w:val="00D1067E"/>
    <w:rsid w:val="00D10F50"/>
    <w:rsid w:val="00D11272"/>
    <w:rsid w:val="00D126F5"/>
    <w:rsid w:val="00D132E1"/>
    <w:rsid w:val="00D1489E"/>
    <w:rsid w:val="00D20737"/>
    <w:rsid w:val="00D21E81"/>
    <w:rsid w:val="00D223DE"/>
    <w:rsid w:val="00D2599C"/>
    <w:rsid w:val="00D25E37"/>
    <w:rsid w:val="00D2661A"/>
    <w:rsid w:val="00D27582"/>
    <w:rsid w:val="00D27EC4"/>
    <w:rsid w:val="00D32719"/>
    <w:rsid w:val="00D33333"/>
    <w:rsid w:val="00D33A08"/>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E83"/>
    <w:rsid w:val="00DC0321"/>
    <w:rsid w:val="00DC3067"/>
    <w:rsid w:val="00DC370B"/>
    <w:rsid w:val="00DC5B90"/>
    <w:rsid w:val="00DD00FF"/>
    <w:rsid w:val="00DD0619"/>
    <w:rsid w:val="00DD07FB"/>
    <w:rsid w:val="00DD25C6"/>
    <w:rsid w:val="00DD2D6F"/>
    <w:rsid w:val="00DD4FE5"/>
    <w:rsid w:val="00DD54B0"/>
    <w:rsid w:val="00DD57EE"/>
    <w:rsid w:val="00DD6BCC"/>
    <w:rsid w:val="00DD6E7B"/>
    <w:rsid w:val="00DE0A4B"/>
    <w:rsid w:val="00DE2410"/>
    <w:rsid w:val="00DE2939"/>
    <w:rsid w:val="00DE6E81"/>
    <w:rsid w:val="00DE703F"/>
    <w:rsid w:val="00DE7595"/>
    <w:rsid w:val="00DF1961"/>
    <w:rsid w:val="00DF2347"/>
    <w:rsid w:val="00DF44DE"/>
    <w:rsid w:val="00E01138"/>
    <w:rsid w:val="00E02DFB"/>
    <w:rsid w:val="00E030F9"/>
    <w:rsid w:val="00E0311A"/>
    <w:rsid w:val="00E03138"/>
    <w:rsid w:val="00E06404"/>
    <w:rsid w:val="00E11A85"/>
    <w:rsid w:val="00E12495"/>
    <w:rsid w:val="00E15CCD"/>
    <w:rsid w:val="00E202EF"/>
    <w:rsid w:val="00E210B5"/>
    <w:rsid w:val="00E23E77"/>
    <w:rsid w:val="00E2552F"/>
    <w:rsid w:val="00E3137A"/>
    <w:rsid w:val="00E32CCF"/>
    <w:rsid w:val="00E34A98"/>
    <w:rsid w:val="00E35D1E"/>
    <w:rsid w:val="00E364F9"/>
    <w:rsid w:val="00E365FA"/>
    <w:rsid w:val="00E36789"/>
    <w:rsid w:val="00E42101"/>
    <w:rsid w:val="00E44A83"/>
    <w:rsid w:val="00E502C1"/>
    <w:rsid w:val="00E502DD"/>
    <w:rsid w:val="00E50D3A"/>
    <w:rsid w:val="00E51387"/>
    <w:rsid w:val="00E51E68"/>
    <w:rsid w:val="00E52EFD"/>
    <w:rsid w:val="00E5408A"/>
    <w:rsid w:val="00E5586A"/>
    <w:rsid w:val="00E56800"/>
    <w:rsid w:val="00E60C63"/>
    <w:rsid w:val="00E62FF9"/>
    <w:rsid w:val="00E635D6"/>
    <w:rsid w:val="00E639BC"/>
    <w:rsid w:val="00E664CC"/>
    <w:rsid w:val="00E70388"/>
    <w:rsid w:val="00E70F92"/>
    <w:rsid w:val="00E71C96"/>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30C"/>
    <w:rsid w:val="00EB31ED"/>
    <w:rsid w:val="00EB5EDF"/>
    <w:rsid w:val="00EB60FE"/>
    <w:rsid w:val="00EB74DB"/>
    <w:rsid w:val="00EC5359"/>
    <w:rsid w:val="00EC562A"/>
    <w:rsid w:val="00ED067A"/>
    <w:rsid w:val="00ED2987"/>
    <w:rsid w:val="00ED2B50"/>
    <w:rsid w:val="00EE0350"/>
    <w:rsid w:val="00EE0719"/>
    <w:rsid w:val="00EE0E80"/>
    <w:rsid w:val="00EE613F"/>
    <w:rsid w:val="00EE7295"/>
    <w:rsid w:val="00EE7869"/>
    <w:rsid w:val="00EF054A"/>
    <w:rsid w:val="00EF3235"/>
    <w:rsid w:val="00EF7E72"/>
    <w:rsid w:val="00F044F2"/>
    <w:rsid w:val="00F06D37"/>
    <w:rsid w:val="00F07B9D"/>
    <w:rsid w:val="00F10CCF"/>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945F7"/>
    <w:rsid w:val="040845DB"/>
    <w:rsid w:val="059C3FA8"/>
    <w:rsid w:val="063A4B14"/>
    <w:rsid w:val="073A38EF"/>
    <w:rsid w:val="07646F02"/>
    <w:rsid w:val="099E3DDA"/>
    <w:rsid w:val="0B4B0368"/>
    <w:rsid w:val="0D535B7A"/>
    <w:rsid w:val="0DBA4A49"/>
    <w:rsid w:val="0E0D6C5F"/>
    <w:rsid w:val="0F9658E5"/>
    <w:rsid w:val="0F9C53A9"/>
    <w:rsid w:val="101F18D4"/>
    <w:rsid w:val="1109785F"/>
    <w:rsid w:val="11B46BCD"/>
    <w:rsid w:val="122B2731"/>
    <w:rsid w:val="12A165D1"/>
    <w:rsid w:val="153C3A6A"/>
    <w:rsid w:val="16C436C3"/>
    <w:rsid w:val="16D51FAD"/>
    <w:rsid w:val="18AF583F"/>
    <w:rsid w:val="1A361CF4"/>
    <w:rsid w:val="1A67191C"/>
    <w:rsid w:val="1B0F19E3"/>
    <w:rsid w:val="1B6A11F2"/>
    <w:rsid w:val="1C230D4C"/>
    <w:rsid w:val="1CCB7FD8"/>
    <w:rsid w:val="1CF1280D"/>
    <w:rsid w:val="1EAD465D"/>
    <w:rsid w:val="1F475A4F"/>
    <w:rsid w:val="1FA161E0"/>
    <w:rsid w:val="1FDF686A"/>
    <w:rsid w:val="23E16791"/>
    <w:rsid w:val="241A3D87"/>
    <w:rsid w:val="243029D5"/>
    <w:rsid w:val="24FF2355"/>
    <w:rsid w:val="25110CB8"/>
    <w:rsid w:val="25570396"/>
    <w:rsid w:val="27FB48C5"/>
    <w:rsid w:val="2A386D7C"/>
    <w:rsid w:val="2BF228B6"/>
    <w:rsid w:val="2C2524AB"/>
    <w:rsid w:val="2D8D7A26"/>
    <w:rsid w:val="2DB43204"/>
    <w:rsid w:val="2FED29FE"/>
    <w:rsid w:val="314B0E21"/>
    <w:rsid w:val="32591439"/>
    <w:rsid w:val="33337DE1"/>
    <w:rsid w:val="334B7CDE"/>
    <w:rsid w:val="34476FD9"/>
    <w:rsid w:val="37B43304"/>
    <w:rsid w:val="38091C77"/>
    <w:rsid w:val="38EA6674"/>
    <w:rsid w:val="397B4828"/>
    <w:rsid w:val="399717E6"/>
    <w:rsid w:val="3A1B4417"/>
    <w:rsid w:val="3AE122FA"/>
    <w:rsid w:val="3D8C1ECC"/>
    <w:rsid w:val="3E077380"/>
    <w:rsid w:val="42571758"/>
    <w:rsid w:val="42DF6B1E"/>
    <w:rsid w:val="44CC2671"/>
    <w:rsid w:val="451C7BB5"/>
    <w:rsid w:val="45EF0D5D"/>
    <w:rsid w:val="467C253B"/>
    <w:rsid w:val="4A3D6764"/>
    <w:rsid w:val="4B1E29DD"/>
    <w:rsid w:val="4E7A2409"/>
    <w:rsid w:val="4F387114"/>
    <w:rsid w:val="51171404"/>
    <w:rsid w:val="511C04E7"/>
    <w:rsid w:val="529D019B"/>
    <w:rsid w:val="54801E82"/>
    <w:rsid w:val="54B27E8B"/>
    <w:rsid w:val="55533418"/>
    <w:rsid w:val="56D7539C"/>
    <w:rsid w:val="57E338BB"/>
    <w:rsid w:val="58765B97"/>
    <w:rsid w:val="58B10879"/>
    <w:rsid w:val="5A6C67E5"/>
    <w:rsid w:val="5AAA3DBD"/>
    <w:rsid w:val="5D553FF2"/>
    <w:rsid w:val="5E6737F7"/>
    <w:rsid w:val="60980395"/>
    <w:rsid w:val="60C952E0"/>
    <w:rsid w:val="629E17B2"/>
    <w:rsid w:val="63E4010E"/>
    <w:rsid w:val="64AC1281"/>
    <w:rsid w:val="65C673E1"/>
    <w:rsid w:val="67B702AC"/>
    <w:rsid w:val="6804184C"/>
    <w:rsid w:val="681F09DF"/>
    <w:rsid w:val="685245BB"/>
    <w:rsid w:val="68DE5580"/>
    <w:rsid w:val="68EC10AC"/>
    <w:rsid w:val="69406477"/>
    <w:rsid w:val="6A9F2886"/>
    <w:rsid w:val="6B8310F6"/>
    <w:rsid w:val="6C437991"/>
    <w:rsid w:val="6CCB581B"/>
    <w:rsid w:val="701F230C"/>
    <w:rsid w:val="708A15C7"/>
    <w:rsid w:val="71B8430A"/>
    <w:rsid w:val="71CA4371"/>
    <w:rsid w:val="767515A9"/>
    <w:rsid w:val="78663BAD"/>
    <w:rsid w:val="7AD4434E"/>
    <w:rsid w:val="7B4927A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0"/>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51"/>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19"/>
      </w:numPr>
      <w:adjustRightInd/>
    </w:pPr>
    <w:rPr>
      <w:szCs w:val="24"/>
    </w:rPr>
  </w:style>
  <w:style w:type="paragraph" w:customStyle="1" w:styleId="163">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1"/>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2"/>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3"/>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4"/>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3"/>
      </w:numPr>
      <w:ind w:left="1271" w:hanging="420" w:firstLineChars="0"/>
    </w:pPr>
  </w:style>
  <w:style w:type="paragraph" w:customStyle="1" w:styleId="192">
    <w:name w:val="标准文件_三级项2"/>
    <w:basedOn w:val="60"/>
    <w:qFormat/>
    <w:uiPriority w:val="0"/>
    <w:pPr>
      <w:numPr>
        <w:ilvl w:val="0"/>
        <w:numId w:val="29"/>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0"/>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next w:val="60"/>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参考文献、索引标题"/>
    <w:basedOn w:val="1"/>
    <w:next w:val="234"/>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37">
    <w:name w:val="二级无"/>
    <w:basedOn w:val="238"/>
    <w:qFormat/>
    <w:uiPriority w:val="0"/>
    <w:pPr>
      <w:spacing w:beforeLines="0" w:afterLines="0"/>
    </w:pPr>
    <w:rPr>
      <w:rFonts w:ascii="宋体" w:eastAsia="宋体"/>
    </w:rPr>
  </w:style>
  <w:style w:type="paragraph" w:customStyle="1" w:styleId="238">
    <w:name w:val="二级条标题"/>
    <w:basedOn w:val="239"/>
    <w:next w:val="234"/>
    <w:qFormat/>
    <w:uiPriority w:val="0"/>
    <w:pPr>
      <w:numPr>
        <w:ilvl w:val="2"/>
      </w:numPr>
      <w:spacing w:before="50" w:after="50"/>
      <w:outlineLvl w:val="3"/>
    </w:pPr>
  </w:style>
  <w:style w:type="paragraph" w:customStyle="1" w:styleId="239">
    <w:name w:val="一级条标题"/>
    <w:next w:val="234"/>
    <w:qFormat/>
    <w:uiPriority w:val="0"/>
    <w:pPr>
      <w:numPr>
        <w:ilvl w:val="1"/>
        <w:numId w:val="31"/>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正文表标题"/>
    <w:next w:val="234"/>
    <w:qFormat/>
    <w:uiPriority w:val="0"/>
    <w:pPr>
      <w:numPr>
        <w:ilvl w:val="0"/>
        <w:numId w:val="3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1">
    <w:name w:val="三级无"/>
    <w:basedOn w:val="242"/>
    <w:qFormat/>
    <w:uiPriority w:val="0"/>
    <w:pPr>
      <w:spacing w:beforeLines="0" w:afterLines="0"/>
    </w:pPr>
    <w:rPr>
      <w:rFonts w:ascii="宋体" w:eastAsia="宋体"/>
    </w:rPr>
  </w:style>
  <w:style w:type="paragraph" w:customStyle="1" w:styleId="242">
    <w:name w:val="三级条标题"/>
    <w:basedOn w:val="238"/>
    <w:next w:val="234"/>
    <w:qFormat/>
    <w:uiPriority w:val="0"/>
    <w:pPr>
      <w:numPr>
        <w:ilvl w:val="3"/>
      </w:numPr>
      <w:outlineLvl w:val="4"/>
    </w:pPr>
  </w:style>
  <w:style w:type="paragraph" w:customStyle="1" w:styleId="243">
    <w:name w:val="四级无"/>
    <w:basedOn w:val="244"/>
    <w:qFormat/>
    <w:uiPriority w:val="0"/>
    <w:pPr>
      <w:spacing w:beforeLines="0" w:afterLines="0"/>
    </w:pPr>
    <w:rPr>
      <w:rFonts w:ascii="宋体" w:eastAsia="宋体"/>
    </w:rPr>
  </w:style>
  <w:style w:type="paragraph" w:customStyle="1" w:styleId="244">
    <w:name w:val="四级条标题"/>
    <w:basedOn w:val="242"/>
    <w:next w:val="234"/>
    <w:qFormat/>
    <w:uiPriority w:val="0"/>
    <w:pPr>
      <w:numPr>
        <w:ilvl w:val="4"/>
      </w:numPr>
      <w:outlineLvl w:val="5"/>
    </w:pPr>
  </w:style>
  <w:style w:type="paragraph" w:customStyle="1" w:styleId="245">
    <w:name w:val="列项——（一级）"/>
    <w:qFormat/>
    <w:uiPriority w:val="0"/>
    <w:pPr>
      <w:widowControl w:val="0"/>
      <w:numPr>
        <w:ilvl w:val="0"/>
        <w:numId w:val="23"/>
      </w:numPr>
      <w:jc w:val="both"/>
    </w:pPr>
    <w:rPr>
      <w:rFonts w:ascii="宋体" w:hAnsi="Times New Roman" w:eastAsia="宋体" w:cs="Times New Roman"/>
      <w:sz w:val="21"/>
      <w:lang w:val="en-US" w:eastAsia="zh-CN" w:bidi="ar-SA"/>
    </w:rPr>
  </w:style>
  <w:style w:type="paragraph" w:customStyle="1" w:styleId="246">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247">
    <w:name w:val="章标题"/>
    <w:next w:val="234"/>
    <w:qFormat/>
    <w:uiPriority w:val="0"/>
    <w:pPr>
      <w:numPr>
        <w:ilvl w:val="0"/>
        <w:numId w:val="31"/>
      </w:numPr>
      <w:spacing w:beforeLines="100" w:afterLines="100"/>
      <w:jc w:val="both"/>
      <w:outlineLvl w:val="1"/>
    </w:pPr>
    <w:rPr>
      <w:rFonts w:ascii="黑体" w:hAnsi="Times New Roman" w:eastAsia="黑体" w:cs="Times New Roman"/>
      <w:sz w:val="21"/>
      <w:lang w:val="en-US" w:eastAsia="zh-CN" w:bidi="ar-SA"/>
    </w:rPr>
  </w:style>
  <w:style w:type="paragraph" w:customStyle="1" w:styleId="248">
    <w:name w:val="五级无"/>
    <w:basedOn w:val="249"/>
    <w:qFormat/>
    <w:uiPriority w:val="0"/>
    <w:pPr>
      <w:spacing w:beforeLines="0" w:afterLines="0"/>
    </w:pPr>
    <w:rPr>
      <w:rFonts w:ascii="宋体" w:eastAsia="宋体"/>
    </w:rPr>
  </w:style>
  <w:style w:type="paragraph" w:customStyle="1" w:styleId="249">
    <w:name w:val="五级条标题"/>
    <w:basedOn w:val="244"/>
    <w:next w:val="234"/>
    <w:qFormat/>
    <w:uiPriority w:val="0"/>
    <w:pPr>
      <w:numPr>
        <w:ilvl w:val="5"/>
      </w:numPr>
      <w:outlineLvl w:val="6"/>
    </w:pPr>
  </w:style>
  <w:style w:type="character" w:customStyle="1" w:styleId="250">
    <w:name w:val="批注文字 字符"/>
    <w:basedOn w:val="31"/>
    <w:link w:val="13"/>
    <w:qFormat/>
    <w:uiPriority w:val="99"/>
    <w:rPr>
      <w:rFonts w:ascii="Calibri" w:hAnsi="Calibri"/>
      <w:kern w:val="2"/>
      <w:sz w:val="21"/>
      <w:szCs w:val="21"/>
    </w:rPr>
  </w:style>
  <w:style w:type="character" w:customStyle="1" w:styleId="251">
    <w:name w:val="批注主题 字符"/>
    <w:basedOn w:val="250"/>
    <w:link w:val="28"/>
    <w:semiHidden/>
    <w:qFormat/>
    <w:uiPriority w:val="99"/>
    <w:rPr>
      <w:rFonts w:ascii="Calibri" w:hAnsi="Calibri"/>
      <w:b/>
      <w:bCs/>
      <w:kern w:val="2"/>
      <w:sz w:val="21"/>
      <w:szCs w:val="21"/>
    </w:rPr>
  </w:style>
  <w:style w:type="paragraph" w:customStyle="1" w:styleId="252">
    <w:name w:val="修订1"/>
    <w:hidden/>
    <w:semiHidden/>
    <w:qFormat/>
    <w:uiPriority w:val="99"/>
    <w:rPr>
      <w:rFonts w:ascii="Calibri" w:hAnsi="Calibri" w:eastAsia="宋体" w:cs="Times New Roman"/>
      <w:kern w:val="2"/>
      <w:sz w:val="21"/>
      <w:szCs w:val="21"/>
      <w:lang w:val="en-US" w:eastAsia="zh-CN" w:bidi="ar-SA"/>
    </w:rPr>
  </w:style>
  <w:style w:type="character" w:customStyle="1" w:styleId="253">
    <w:name w:val="15"/>
    <w:basedOn w:val="3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251970A4EC4BD9A0DA3B2AE9298E2F"/>
        <w:style w:val=""/>
        <w:category>
          <w:name w:val="常规"/>
          <w:gallery w:val="placeholder"/>
        </w:category>
        <w:types>
          <w:type w:val="bbPlcHdr"/>
        </w:types>
        <w:behaviors>
          <w:behavior w:val="content"/>
        </w:behaviors>
        <w:description w:val=""/>
        <w:guid w:val="{8C9411DE-7518-4CDD-8050-DFDF60B70A5C}"/>
      </w:docPartPr>
      <w:docPartBody>
        <w:p w14:paraId="306C0FE8">
          <w:pPr>
            <w:pStyle w:val="5"/>
          </w:pPr>
          <w:r>
            <w:rPr>
              <w:rStyle w:val="4"/>
              <w:rFonts w:hint="eastAsia"/>
            </w:rPr>
            <w:t>单击或点击此处输入文字。</w:t>
          </w:r>
        </w:p>
      </w:docPartBody>
    </w:docPart>
    <w:docPart>
      <w:docPartPr>
        <w:name w:val="9A322CD597F34088AF1F67FE764002F5"/>
        <w:style w:val=""/>
        <w:category>
          <w:name w:val="常规"/>
          <w:gallery w:val="placeholder"/>
        </w:category>
        <w:types>
          <w:type w:val="bbPlcHdr"/>
        </w:types>
        <w:behaviors>
          <w:behavior w:val="content"/>
        </w:behaviors>
        <w:description w:val=""/>
        <w:guid w:val="{C182105C-B6EF-438E-A348-DF0F33CC98B0}"/>
      </w:docPartPr>
      <w:docPartBody>
        <w:p w14:paraId="1ED48A33">
          <w:pPr>
            <w:pStyle w:val="6"/>
          </w:pPr>
          <w:r>
            <w:rPr>
              <w:rStyle w:val="4"/>
              <w:rFonts w:hint="eastAsia"/>
            </w:rPr>
            <w:t>选择一项。</w:t>
          </w:r>
        </w:p>
      </w:docPartBody>
    </w:docPart>
    <w:docPart>
      <w:docPartPr>
        <w:name w:val="{145892df-5c1d-4c8c-9d10-ceb4067336d2}"/>
        <w:style w:val=""/>
        <w:category>
          <w:name w:val="常规"/>
          <w:gallery w:val="placeholder"/>
        </w:category>
        <w:types>
          <w:type w:val="bbPlcHdr"/>
        </w:types>
        <w:behaviors>
          <w:behavior w:val="content"/>
        </w:behaviors>
        <w:description w:val=""/>
        <w:guid w:val="{145892DF-5C1D-4C8C-9D10-CEB4067336D2}"/>
      </w:docPartPr>
      <w:docPartBody>
        <w:p w14:paraId="55BC27C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6F3F2A"/>
    <w:rsid w:val="000B24B8"/>
    <w:rsid w:val="00143D6A"/>
    <w:rsid w:val="001C2D36"/>
    <w:rsid w:val="00274914"/>
    <w:rsid w:val="00672F10"/>
    <w:rsid w:val="006C3D78"/>
    <w:rsid w:val="006D536D"/>
    <w:rsid w:val="006F3F2A"/>
    <w:rsid w:val="006F5D26"/>
    <w:rsid w:val="007E17EB"/>
    <w:rsid w:val="00A001A9"/>
    <w:rsid w:val="00AF0ABC"/>
    <w:rsid w:val="00B46D37"/>
    <w:rsid w:val="00B713A7"/>
    <w:rsid w:val="00C22FC5"/>
    <w:rsid w:val="00C52E3B"/>
    <w:rsid w:val="00CA02D6"/>
    <w:rsid w:val="00E95845"/>
    <w:rsid w:val="00F10CC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3251970A4EC4BD9A0DA3B2AE9298E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A322CD597F34088AF1F67FE764002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613417E46984AF6ACCD7D9D59D8F11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D05F6-9F4F-415F-AEBB-2D9F983B5D77}">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7</Pages>
  <Words>1731</Words>
  <Characters>2152</Characters>
  <Lines>115</Lines>
  <Paragraphs>167</Paragraphs>
  <TotalTime>7</TotalTime>
  <ScaleCrop>false</ScaleCrop>
  <LinksUpToDate>false</LinksUpToDate>
  <CharactersWithSpaces>2333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2022-07-26T03:55:00Z</dcterms:created>
  <dc:creator>tsj</dc:creator>
  <dc:description>&lt;config cover="true" show_menu="true" version="1.0.0" doctype="SDKXY"&gt;_x000d_
&lt;/config&gt;</dc:description>
  <cp:lastModifiedBy>要铎</cp:lastModifiedBy>
  <cp:lastPrinted>2023-01-11T02:25:00Z</cp:lastPrinted>
  <dcterms:modified xsi:type="dcterms:W3CDTF">2025-08-28T02:55:06Z</dcterms:modified>
  <dc:title>团体标准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2052-12.1.0.22529</vt:lpwstr>
  </property>
  <property fmtid="{D5CDD505-2E9C-101B-9397-08002B2CF9AE}" pid="16" name="ICV">
    <vt:lpwstr>69B9328B49544CCC80BDCB2B3398626D_13</vt:lpwstr>
  </property>
  <property fmtid="{D5CDD505-2E9C-101B-9397-08002B2CF9AE}" pid="17" name="KSOTemplateDocerSaveRecord">
    <vt:lpwstr>eyJoZGlkIjoiZGYwODQ3ZWExODc4ZTlhOWU3MGM5MTdhNWNiYmM4ODEiLCJ1c2VySWQiOiIyNzUzOTA1MzYifQ==</vt:lpwstr>
  </property>
</Properties>
</file>