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71.080.60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1"/>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true" noChangeArrowheads="true"/>
                                </pic:cNvPicPr>
                              </pic:nvPicPr>
                              <pic:blipFill>
                                <a:blip r:embed="rId17" cstate="print">
                                  <a:extLst>
                                    <a:ext uri="{28A0092B-C50C-407E-A947-70E740481C1C}">
                                      <a14:useLocalDpi xmlns:a14="http://schemas.microsoft.com/office/drawing/2010/main" val="false"/>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true" noChangeArrowheads="true"/>
                                </pic:cNvPicPr>
                              </pic:nvPicPr>
                              <pic:blipFill>
                                <a:blip r:embed="rId18" cstate="print">
                                  <a:extLst>
                                    <a:ext uri="{28A0092B-C50C-407E-A947-70E740481C1C}">
                                      <a14:useLocalDpi xmlns:a14="http://schemas.microsoft.com/office/drawing/2010/main" val="false"/>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NMSP"/>
                          <w:maxLength w:val="7"/>
                        </w:textInput>
                      </w:ffData>
                    </w:fldChar>
                  </w:r>
                  <w:bookmarkStart w:id="1" w:name="c1"/>
                  <w:r>
                    <w:instrText xml:space="preserve"> FORMTEXT </w:instrText>
                  </w:r>
                  <w:r>
                    <w:fldChar w:fldCharType="separate"/>
                  </w:r>
                  <w:r>
                    <w:t>NMSP</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G16</w:t>
            </w:r>
            <w:r>
              <w:rPr>
                <w:rFonts w:ascii="黑体" w:hAnsi="黑体" w:eastAsia="黑体"/>
                <w:sz w:val="21"/>
                <w:szCs w:val="21"/>
              </w:rPr>
              <w:fldChar w:fldCharType="end"/>
            </w:r>
            <w:bookmarkEnd w:id="2"/>
          </w:p>
        </w:tc>
      </w:tr>
    </w:tbl>
    <w:p>
      <w:pPr>
        <w:pStyle w:val="52"/>
        <w:framePr w:w="9639" w:h="624" w:hRule="exact" w:hSpace="181" w:vSpace="181"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内蒙古标准发展促进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内蒙古标准发展促进会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7"/>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98"/>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2"/>
        <w:framePr w:w="9639" w:h="6976" w:hRule="exact" w:hSpace="0" w:vSpace="0" w:hAnchor="page" w:y="6408"/>
        <w:jc w:val="center"/>
        <w:rPr>
          <w:rFonts w:ascii="黑体" w:hAnsi="黑体" w:eastAsia="黑体"/>
          <w:b w:val="0"/>
          <w:bCs w:val="0"/>
          <w:w w:val="100"/>
        </w:rPr>
      </w:pPr>
    </w:p>
    <w:p>
      <w:pPr>
        <w:pStyle w:val="199"/>
        <w:framePr w:h="6974" w:hRule="exact" w:wrap="around" w:x="1419" w:anchorLock="1"/>
      </w:pPr>
      <w:r>
        <w:fldChar w:fldCharType="begin">
          <w:ffData>
            <w:name w:val="CSTD_NAME"/>
            <w:enabled/>
            <w:calcOnExit w:val="0"/>
            <w:textInput>
              <w:default w:val="温室气体 产品碳足迹量化方法与要求   煤制乙二醇"/>
            </w:textInput>
          </w:ffData>
        </w:fldChar>
      </w:r>
      <w:bookmarkStart w:id="9" w:name="CSTD_NAME"/>
      <w:r>
        <w:instrText xml:space="preserve"> FORMTEXT </w:instrText>
      </w:r>
      <w:r>
        <w:fldChar w:fldCharType="separate"/>
      </w:r>
      <w:r>
        <w:t>温室气体 产品碳足迹量化方法与要求   煤制乙二醇</w:t>
      </w:r>
      <w:r>
        <w:fldChar w:fldCharType="end"/>
      </w:r>
      <w:bookmarkEnd w:id="9"/>
    </w:p>
    <w:p>
      <w:pPr>
        <w:framePr w:w="9639" w:h="6974" w:hRule="exact" w:wrap="around" w:vAnchor="page" w:hAnchor="page" w:x="1419" w:y="6408" w:anchorLock="1"/>
        <w:ind w:left="-1418"/>
      </w:pPr>
    </w:p>
    <w:p>
      <w:pPr>
        <w:pStyle w:val="127"/>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Greenhouse gas-Quantification requirement and method of product carbon footprint-Coal to ethylene glycol"/>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Greenhouse gas-Quantification requirement and method of product carbon footprint-Coal to ethylene glycol</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7"/>
        <w:framePr w:w="9639" w:h="6974" w:hRule="exact" w:wrap="around" w:vAnchor="page" w:hAnchor="page" w:x="1419" w:y="6408" w:anchorLock="1"/>
        <w:textAlignment w:val="bottom"/>
        <w:rPr>
          <w:rFonts w:eastAsia="黑体"/>
          <w:szCs w:val="28"/>
        </w:rPr>
      </w:pPr>
    </w:p>
    <w:p>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5"/>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6"/>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3"/>
        <w:framePr w:h="584" w:hRule="exact" w:hSpace="181" w:vSpace="181" w:y="14800"/>
        <w:rPr>
          <w:rFonts w:hAnsi="黑体"/>
        </w:rPr>
      </w:pPr>
      <w:r>
        <w:rPr>
          <w:rFonts w:hAnsi="黑体"/>
          <w:w w:val="100"/>
          <w:sz w:val="28"/>
        </w:rPr>
        <w:fldChar w:fldCharType="begin">
          <w:ffData>
            <w:name w:val="fm"/>
            <w:enabled/>
            <w:calcOnExit w:val="0"/>
            <w:textInput>
              <w:default w:val="内蒙古标准发展促进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内蒙古标准发展促进会</w:t>
      </w:r>
      <w:r>
        <w:rPr>
          <w:rFonts w:hAnsi="黑体"/>
          <w:w w:val="100"/>
          <w:sz w:val="28"/>
        </w:rPr>
        <w:fldChar w:fldCharType="end"/>
      </w:r>
      <w:bookmarkEnd w:id="20"/>
      <w:r>
        <w:rPr>
          <w:rFonts w:ascii="Times New Roman"/>
          <w:w w:val="100"/>
          <w:sz w:val="28"/>
        </w:rPr>
        <w:t>  </w:t>
      </w:r>
      <w:r>
        <w:rPr>
          <w:rStyle w:val="231"/>
          <w:rFonts w:hint="eastAsia" w:hAnsi="黑体"/>
          <w:position w:val="0"/>
        </w:rPr>
        <w:t>发</w:t>
      </w:r>
      <w:r>
        <w:rPr>
          <w:rStyle w:val="231"/>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3"/>
        <w:spacing w:after="360"/>
      </w:pPr>
      <w:bookmarkStart w:id="21"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"_Toc201828342" </w:instrText>
      </w:r>
      <w:r>
        <w:fldChar w:fldCharType="separate"/>
      </w:r>
      <w:r>
        <w:rPr>
          <w:rStyle w:val="34"/>
        </w:rPr>
        <w:t>前言</w:t>
      </w:r>
      <w:r>
        <w:tab/>
      </w:r>
      <w:r>
        <w:fldChar w:fldCharType="begin"/>
      </w:r>
      <w:r>
        <w:instrText xml:space="preserve"> PAGEREF _Toc201828342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"_Toc201828343" </w:instrText>
      </w:r>
      <w:r>
        <w:fldChar w:fldCharType="separate"/>
      </w:r>
      <w:r>
        <w:rPr>
          <w:rStyle w:val="34"/>
        </w:rPr>
        <w:t>1  范围</w:t>
      </w:r>
      <w:r>
        <w:tab/>
      </w:r>
      <w:r>
        <w:fldChar w:fldCharType="begin"/>
      </w:r>
      <w:r>
        <w:instrText xml:space="preserve"> PAGEREF _Toc201828343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"_Toc201828344" </w:instrText>
      </w:r>
      <w:r>
        <w:fldChar w:fldCharType="separate"/>
      </w:r>
      <w:r>
        <w:rPr>
          <w:rStyle w:val="34"/>
        </w:rPr>
        <w:t>2  规范性引用文件</w:t>
      </w:r>
      <w:r>
        <w:tab/>
      </w:r>
      <w:r>
        <w:fldChar w:fldCharType="begin"/>
      </w:r>
      <w:r>
        <w:instrText xml:space="preserve"> PAGEREF _Toc201828344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"_Toc201828345" </w:instrText>
      </w:r>
      <w:r>
        <w:fldChar w:fldCharType="separate"/>
      </w:r>
      <w:r>
        <w:rPr>
          <w:rStyle w:val="34"/>
        </w:rPr>
        <w:t>3  术语和定义</w:t>
      </w:r>
      <w:r>
        <w:tab/>
      </w:r>
      <w:r>
        <w:fldChar w:fldCharType="begin"/>
      </w:r>
      <w:r>
        <w:instrText xml:space="preserve"> PAGEREF _Toc201828345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"_Toc201828346" </w:instrText>
      </w:r>
      <w:r>
        <w:fldChar w:fldCharType="separate"/>
      </w:r>
      <w:r>
        <w:rPr>
          <w:rStyle w:val="34"/>
        </w:rPr>
        <w:t>4  量化目的</w:t>
      </w:r>
      <w:r>
        <w:tab/>
      </w:r>
      <w:r>
        <w:fldChar w:fldCharType="begin"/>
      </w:r>
      <w:r>
        <w:instrText xml:space="preserve"> PAGEREF _Toc201828346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"_Toc201828347" </w:instrText>
      </w:r>
      <w:r>
        <w:fldChar w:fldCharType="separate"/>
      </w:r>
      <w:r>
        <w:rPr>
          <w:rStyle w:val="34"/>
        </w:rPr>
        <w:t>5  量化范围</w:t>
      </w:r>
      <w:r>
        <w:tab/>
      </w:r>
      <w:r>
        <w:fldChar w:fldCharType="begin"/>
      </w:r>
      <w:r>
        <w:instrText xml:space="preserve"> PAGEREF _Toc201828347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"_Toc201828348" </w:instrText>
      </w:r>
      <w:r>
        <w:fldChar w:fldCharType="separate"/>
      </w:r>
      <w:r>
        <w:rPr>
          <w:rStyle w:val="34"/>
        </w:rPr>
        <w:t>6  清单分析</w:t>
      </w:r>
      <w:r>
        <w:tab/>
      </w:r>
      <w:r>
        <w:fldChar w:fldCharType="begin"/>
      </w:r>
      <w:r>
        <w:instrText xml:space="preserve"> PAGEREF _Toc201828348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"_Toc201828349" </w:instrText>
      </w:r>
      <w:r>
        <w:fldChar w:fldCharType="separate"/>
      </w:r>
      <w:r>
        <w:rPr>
          <w:rStyle w:val="34"/>
        </w:rPr>
        <w:t>7  数据计算</w:t>
      </w:r>
      <w:r>
        <w:tab/>
      </w:r>
      <w:r>
        <w:fldChar w:fldCharType="begin"/>
      </w:r>
      <w:r>
        <w:instrText xml:space="preserve"> PAGEREF _Toc201828349 \h </w:instrText>
      </w:r>
      <w:r>
        <w:fldChar w:fldCharType="separate"/>
      </w:r>
      <w:r>
        <w:t>7</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"_Toc201828350" </w:instrText>
      </w:r>
      <w:r>
        <w:fldChar w:fldCharType="separate"/>
      </w:r>
      <w:r>
        <w:rPr>
          <w:rStyle w:val="34"/>
        </w:rPr>
        <w:t>8  生命周期结果解释</w:t>
      </w:r>
      <w:r>
        <w:tab/>
      </w:r>
      <w:r>
        <w:fldChar w:fldCharType="begin"/>
      </w:r>
      <w:r>
        <w:instrText xml:space="preserve"> PAGEREF _Toc201828350 \h </w:instrText>
      </w:r>
      <w:r>
        <w:fldChar w:fldCharType="separate"/>
      </w:r>
      <w:r>
        <w:t>8</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"_Toc201828351" </w:instrText>
      </w:r>
      <w:r>
        <w:fldChar w:fldCharType="separate"/>
      </w:r>
      <w:r>
        <w:rPr>
          <w:rStyle w:val="34"/>
        </w:rPr>
        <w:t>9  产品碳足迹报告</w:t>
      </w:r>
      <w:r>
        <w:tab/>
      </w:r>
      <w:r>
        <w:fldChar w:fldCharType="begin"/>
      </w:r>
      <w:r>
        <w:instrText xml:space="preserve"> PAGEREF _Toc201828351 \h </w:instrText>
      </w:r>
      <w:r>
        <w:fldChar w:fldCharType="separate"/>
      </w:r>
      <w:r>
        <w:t>8</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"_Toc201828352" </w:instrText>
      </w:r>
      <w:r>
        <w:fldChar w:fldCharType="separate"/>
      </w:r>
      <w:r>
        <w:rPr>
          <w:rStyle w:val="34"/>
        </w:rPr>
        <w:t>附录A（资料性）  产品碳足迹报告（模板）</w:t>
      </w:r>
      <w:r>
        <w:tab/>
      </w:r>
      <w:r>
        <w:fldChar w:fldCharType="begin"/>
      </w:r>
      <w:r>
        <w:instrText xml:space="preserve"> PAGEREF _Toc201828352 \h </w:instrText>
      </w:r>
      <w:r>
        <w:fldChar w:fldCharType="separate"/>
      </w:r>
      <w:r>
        <w:t>10</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"_Toc201828353" </w:instrText>
      </w:r>
      <w:r>
        <w:fldChar w:fldCharType="separate"/>
      </w:r>
      <w:r>
        <w:rPr>
          <w:rStyle w:val="34"/>
        </w:rPr>
        <w:t>附录B（资料性）  煤制乙二醇生产工艺流程示例图</w:t>
      </w:r>
      <w:r>
        <w:tab/>
      </w:r>
      <w:r>
        <w:fldChar w:fldCharType="begin"/>
      </w:r>
      <w:r>
        <w:instrText xml:space="preserve"> PAGEREF _Toc201828353 \h </w:instrText>
      </w:r>
      <w:r>
        <w:fldChar w:fldCharType="separate"/>
      </w:r>
      <w:r>
        <w:t>14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"_Toc201828354" </w:instrText>
      </w:r>
      <w:r>
        <w:fldChar w:fldCharType="separate"/>
      </w:r>
      <w:r>
        <w:rPr>
          <w:rStyle w:val="34"/>
        </w:rPr>
        <w:t>附录C（资料性）  煤制乙二醇产品碳足迹初级数据收集清单模版（示例）</w:t>
      </w:r>
      <w:r>
        <w:tab/>
      </w:r>
      <w:r>
        <w:fldChar w:fldCharType="begin"/>
      </w:r>
      <w:r>
        <w:instrText xml:space="preserve"> PAGEREF _Toc201828354 \h </w:instrText>
      </w:r>
      <w:r>
        <w:fldChar w:fldCharType="separate"/>
      </w:r>
      <w:r>
        <w:t>15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"_Toc201828355" </w:instrText>
      </w:r>
      <w:r>
        <w:fldChar w:fldCharType="separate"/>
      </w:r>
      <w:r>
        <w:rPr>
          <w:rStyle w:val="34"/>
        </w:rPr>
        <w:t>附录D（资料性）  次级数据收集</w:t>
      </w:r>
      <w:r>
        <w:tab/>
      </w:r>
      <w:r>
        <w:fldChar w:fldCharType="begin"/>
      </w:r>
      <w:r>
        <w:instrText xml:space="preserve"> PAGEREF _Toc201828355 \h </w:instrText>
      </w:r>
      <w:r>
        <w:fldChar w:fldCharType="separate"/>
      </w:r>
      <w:r>
        <w:t>17</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"_Toc201828356" </w:instrText>
      </w:r>
      <w:r>
        <w:fldChar w:fldCharType="separate"/>
      </w:r>
      <w:r>
        <w:rPr>
          <w:rStyle w:val="34"/>
        </w:rPr>
        <w:t>附录E（规范性）  数据质量评级</w:t>
      </w:r>
      <w:r>
        <w:tab/>
      </w:r>
      <w:r>
        <w:fldChar w:fldCharType="begin"/>
      </w:r>
      <w:r>
        <w:instrText xml:space="preserve"> PAGEREF _Toc201828356 \h </w:instrText>
      </w:r>
      <w:r>
        <w:fldChar w:fldCharType="separate"/>
      </w:r>
      <w:r>
        <w:t>18</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"_Toc201828357" </w:instrText>
      </w:r>
      <w:r>
        <w:fldChar w:fldCharType="separate"/>
      </w:r>
      <w:r>
        <w:rPr>
          <w:rStyle w:val="34"/>
        </w:rPr>
        <w:t>附录F（资料性）  GWP参考值</w:t>
      </w:r>
      <w:r>
        <w:tab/>
      </w:r>
      <w:r>
        <w:fldChar w:fldCharType="begin"/>
      </w:r>
      <w:r>
        <w:instrText xml:space="preserve"> PAGEREF _Toc201828357 \h </w:instrText>
      </w:r>
      <w:r>
        <w:fldChar w:fldCharType="separate"/>
      </w:r>
      <w:r>
        <w:t>19</w:t>
      </w:r>
      <w:r>
        <w:fldChar w:fldCharType="end"/>
      </w:r>
      <w:r>
        <w:fldChar w:fldCharType="end"/>
      </w:r>
    </w:p>
    <w:p>
      <w:pPr>
        <w:pStyle w:val="93"/>
        <w:spacing w:after="360"/>
        <w:sectPr>
          <w:headerReference r:id="rId9" w:type="default"/>
          <w:footerReference r:id="rId11" w:type="default"/>
          <w:headerReference r:id="rId10" w:type="even"/>
          <w:pgSz w:w="11906" w:h="16838"/>
          <w:pgMar w:top="567" w:right="1134" w:bottom="1134" w:left="1134" w:header="1418" w:footer="1134" w:gutter="284"/>
          <w:pgNumType w:fmt="upperRoman" w:start="1"/>
          <w:cols w:space="425" w:num="1"/>
          <w:formProt w:val="0"/>
          <w:docGrid w:linePitch="312" w:charSpace="0"/>
        </w:sectPr>
      </w:pPr>
      <w:r>
        <w:fldChar w:fldCharType="end"/>
      </w:r>
    </w:p>
    <w:bookmarkEnd w:id="21"/>
    <w:p>
      <w:pPr>
        <w:pStyle w:val="91"/>
        <w:spacing w:after="360"/>
      </w:pPr>
      <w:bookmarkStart w:id="22" w:name="_Toc201828342"/>
      <w:bookmarkStart w:id="23" w:name="BookMark2"/>
      <w:r>
        <w:rPr>
          <w:spacing w:val="320"/>
        </w:rPr>
        <w:t>前</w:t>
      </w:r>
      <w:r>
        <w:t>言</w:t>
      </w:r>
      <w:bookmarkEnd w:id="22"/>
    </w:p>
    <w:p>
      <w:pPr>
        <w:pStyle w:val="58"/>
        <w:ind w:firstLine="420"/>
      </w:pPr>
      <w:r>
        <w:rPr>
          <w:rFonts w:hint="eastAsia"/>
        </w:rPr>
        <w:t>本文件按照GB/T 1.1—2020《标准化工作导则  第1部分：标准化文件的结构和起草规则》的规定起草。</w:t>
      </w:r>
    </w:p>
    <w:p>
      <w:pPr>
        <w:pStyle w:val="58"/>
        <w:ind w:firstLine="420"/>
      </w:pPr>
      <w:r>
        <w:rPr>
          <w:rFonts w:hint="eastAsia"/>
        </w:rPr>
        <w:t>本文件由鄂尔多斯市</w:t>
      </w:r>
      <w:r>
        <w:t>检验检测中心</w:t>
      </w:r>
      <w:r>
        <w:rPr>
          <w:rFonts w:hint="eastAsia"/>
        </w:rPr>
        <w:t>提出。</w:t>
      </w:r>
    </w:p>
    <w:p>
      <w:pPr>
        <w:pStyle w:val="58"/>
        <w:ind w:firstLine="420"/>
      </w:pPr>
      <w:r>
        <w:rPr>
          <w:rFonts w:hint="eastAsia"/>
        </w:rPr>
        <w:t>本文件由内蒙古自治区工业和信息</w:t>
      </w:r>
      <w:r>
        <w:t>化厅</w:t>
      </w:r>
      <w:r>
        <w:rPr>
          <w:rFonts w:hint="eastAsia"/>
        </w:rPr>
        <w:t>归口。</w:t>
      </w:r>
    </w:p>
    <w:p>
      <w:pPr>
        <w:pStyle w:val="58"/>
        <w:ind w:firstLine="420"/>
      </w:pPr>
      <w:r>
        <w:rPr>
          <w:rFonts w:hint="eastAsia"/>
        </w:rPr>
        <w:t>本文件起草单位：内蒙古自治区质量</w:t>
      </w:r>
      <w:r>
        <w:t>和标准化研究院</w:t>
      </w:r>
    </w:p>
    <w:p>
      <w:pPr>
        <w:pStyle w:val="58"/>
        <w:ind w:firstLine="420"/>
      </w:pPr>
      <w:r>
        <w:rPr>
          <w:rFonts w:hint="eastAsia"/>
        </w:rPr>
        <w:t>本文件主要起草人：</w:t>
      </w:r>
    </w:p>
    <w:p>
      <w:pPr>
        <w:pStyle w:val="58"/>
        <w:ind w:firstLine="420"/>
      </w:pPr>
    </w:p>
    <w:p>
      <w:pPr>
        <w:pStyle w:val="58"/>
        <w:ind w:firstLine="420"/>
        <w:sectPr>
          <w:pgSz w:w="11906" w:h="16838"/>
          <w:pgMar w:top="567" w:right="1134" w:bottom="1134" w:left="1134" w:header="1418" w:footer="1134" w:gutter="284"/>
          <w:pgNumType w:fmt="upperRoman"/>
          <w:cols w:space="425" w:num="1"/>
          <w:formProt w:val="0"/>
          <w:docGrid w:linePitch="312" w:charSpace="0"/>
        </w:sectPr>
      </w:pP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11ABD9AE4D38411EA159452D34826AF2"/>
        </w:placeholder>
      </w:sdtPr>
      <w:sdtContent>
        <w:p>
          <w:pPr>
            <w:pStyle w:val="179"/>
            <w:spacing w:before="436" w:beforeLines="182" w:after="528" w:afterLines="220"/>
          </w:pPr>
          <w:bookmarkStart w:id="25" w:name="NEW_STAND_NAME"/>
          <w:r>
            <w:rPr>
              <w:rFonts w:hint="eastAsia"/>
            </w:rPr>
            <w:t>温室气体</w:t>
          </w:r>
          <w:r>
            <w:t xml:space="preserve"> 产品碳足迹量化方法与要求  </w:t>
          </w:r>
          <w:r>
            <w:rPr>
              <w:rFonts w:hint="eastAsia"/>
            </w:rPr>
            <w:t>煤制乙二醇</w:t>
          </w:r>
        </w:p>
      </w:sdtContent>
    </w:sdt>
    <w:bookmarkEnd w:id="25"/>
    <w:p>
      <w:pPr>
        <w:pStyle w:val="106"/>
        <w:spacing w:before="240" w:after="240"/>
      </w:pPr>
      <w:bookmarkStart w:id="26" w:name="_Toc26718930"/>
      <w:bookmarkStart w:id="27" w:name="_Toc201828343"/>
      <w:bookmarkStart w:id="28" w:name="_Toc24884218"/>
      <w:bookmarkStart w:id="29" w:name="_Toc26986530"/>
      <w:bookmarkStart w:id="30" w:name="_Toc26986771"/>
      <w:bookmarkStart w:id="31" w:name="_Toc24884211"/>
      <w:bookmarkStart w:id="32" w:name="_Toc26648465"/>
      <w:bookmarkStart w:id="33" w:name="_Toc17233325"/>
      <w:bookmarkStart w:id="34" w:name="_Toc17233333"/>
      <w:r>
        <w:rPr>
          <w:rFonts w:hint="eastAsia"/>
        </w:rPr>
        <w:t>范围</w:t>
      </w:r>
      <w:bookmarkEnd w:id="26"/>
      <w:bookmarkEnd w:id="27"/>
      <w:bookmarkEnd w:id="28"/>
      <w:bookmarkEnd w:id="29"/>
      <w:bookmarkEnd w:id="30"/>
      <w:bookmarkEnd w:id="31"/>
      <w:bookmarkEnd w:id="32"/>
      <w:bookmarkEnd w:id="33"/>
      <w:bookmarkEnd w:id="34"/>
    </w:p>
    <w:p>
      <w:pPr>
        <w:pStyle w:val="58"/>
        <w:ind w:firstLine="420"/>
      </w:pPr>
      <w:bookmarkStart w:id="35" w:name="_Toc24884212"/>
      <w:bookmarkStart w:id="36" w:name="_Toc17233326"/>
      <w:bookmarkStart w:id="37" w:name="_Toc24884219"/>
      <w:bookmarkStart w:id="38" w:name="_Toc17233334"/>
      <w:bookmarkStart w:id="39" w:name="_Toc26648466"/>
      <w:r>
        <w:rPr>
          <w:rFonts w:hint="eastAsia"/>
        </w:rPr>
        <w:t>本文件规定了煤</w:t>
      </w:r>
      <w:r>
        <w:t>制</w:t>
      </w:r>
      <w:r>
        <w:rPr>
          <w:rFonts w:hint="eastAsia"/>
        </w:rPr>
        <w:t>乙二醇产品部分碳足迹量化的相关术语和</w:t>
      </w:r>
      <w:r>
        <w:t>定义</w:t>
      </w:r>
      <w:r>
        <w:rPr>
          <w:rFonts w:hint="eastAsia"/>
        </w:rPr>
        <w:t>、量化</w:t>
      </w:r>
      <w:r>
        <w:t>目的</w:t>
      </w:r>
      <w:r>
        <w:rPr>
          <w:rFonts w:hint="eastAsia"/>
        </w:rPr>
        <w:t>、量化</w:t>
      </w:r>
      <w:r>
        <w:t>范围、</w:t>
      </w:r>
      <w:r>
        <w:rPr>
          <w:rFonts w:hint="eastAsia"/>
        </w:rPr>
        <w:t>清单分析</w:t>
      </w:r>
      <w:r>
        <w:t>、数据计算</w:t>
      </w:r>
      <w:r>
        <w:rPr>
          <w:rFonts w:hint="eastAsia"/>
        </w:rPr>
        <w:t>、生命周期</w:t>
      </w:r>
      <w:r>
        <w:t>结果解释和</w:t>
      </w:r>
      <w:r>
        <w:rPr>
          <w:rFonts w:hint="eastAsia"/>
        </w:rPr>
        <w:t>产品碳足迹研究报告等内容</w:t>
      </w:r>
      <w:r>
        <w:t>。</w:t>
      </w:r>
    </w:p>
    <w:p>
      <w:pPr>
        <w:pStyle w:val="58"/>
        <w:ind w:firstLine="420"/>
      </w:pPr>
      <w:r>
        <w:rPr>
          <w:rFonts w:hint="eastAsia"/>
        </w:rPr>
        <w:t>本文件</w:t>
      </w:r>
      <w:r>
        <w:t>适用</w:t>
      </w:r>
      <w:r>
        <w:rPr>
          <w:rFonts w:hint="eastAsia"/>
        </w:rPr>
        <w:t>现代煤化工产业中的煤</w:t>
      </w:r>
      <w:r>
        <w:t>制</w:t>
      </w:r>
      <w:r>
        <w:rPr>
          <w:rFonts w:hint="eastAsia"/>
        </w:rPr>
        <w:t>乙二醇产品的部分</w:t>
      </w:r>
      <w:r>
        <w:t>碳足迹</w:t>
      </w:r>
      <w:r>
        <w:rPr>
          <w:rFonts w:hint="eastAsia"/>
        </w:rPr>
        <w:t>核算</w:t>
      </w:r>
      <w:r>
        <w:t>。</w:t>
      </w:r>
      <w:r>
        <w:rPr>
          <w:rFonts w:hint="eastAsia"/>
        </w:rPr>
        <w:t>碳抵消以及</w:t>
      </w:r>
      <w:r>
        <w:t>产品碳足迹或产品部分碳足迹信息交流不在本文件的范围内</w:t>
      </w:r>
      <w:r>
        <w:rPr>
          <w:rFonts w:hint="eastAsia"/>
        </w:rPr>
        <w:t>。</w:t>
      </w:r>
    </w:p>
    <w:p>
      <w:pPr>
        <w:pStyle w:val="106"/>
        <w:spacing w:before="240" w:after="240"/>
      </w:pPr>
      <w:bookmarkStart w:id="40" w:name="_Toc201828344"/>
      <w:bookmarkStart w:id="41" w:name="_Toc26986772"/>
      <w:bookmarkStart w:id="42" w:name="_Toc26718931"/>
      <w:bookmarkStart w:id="43" w:name="_Toc26986531"/>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9735EE6664834542B12B35FE39E510B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8"/>
        <w:ind w:firstLine="420"/>
      </w:pPr>
      <w:r>
        <w:rPr>
          <w:rFonts w:hint="eastAsia"/>
        </w:rPr>
        <w:t>GB/T 2</w:t>
      </w:r>
      <w:r>
        <w:t>4040</w:t>
      </w:r>
      <w:r>
        <w:rPr>
          <w:rFonts w:hint="eastAsia"/>
        </w:rPr>
        <w:t>-20</w:t>
      </w:r>
      <w:r>
        <w:t xml:space="preserve">08 </w:t>
      </w:r>
      <w:r>
        <w:rPr>
          <w:rFonts w:hint="eastAsia"/>
        </w:rPr>
        <w:t>环境管理 生命周期评价 原则与框架</w:t>
      </w:r>
    </w:p>
    <w:p>
      <w:pPr>
        <w:pStyle w:val="58"/>
        <w:ind w:firstLine="420"/>
      </w:pPr>
      <w:r>
        <w:rPr>
          <w:rFonts w:hint="eastAsia"/>
        </w:rPr>
        <w:t>GB/T 2</w:t>
      </w:r>
      <w:r>
        <w:t xml:space="preserve">4044 </w:t>
      </w:r>
      <w:r>
        <w:rPr>
          <w:rFonts w:hint="eastAsia"/>
        </w:rPr>
        <w:t>环境管理 生命周期评价 要求与指南</w:t>
      </w:r>
    </w:p>
    <w:p>
      <w:pPr>
        <w:pStyle w:val="58"/>
        <w:ind w:firstLine="420"/>
      </w:pPr>
      <w:r>
        <w:rPr>
          <w:rFonts w:hint="eastAsia"/>
        </w:rPr>
        <w:t>GB/T 24067-2024 温室</w:t>
      </w:r>
      <w:r>
        <w:t>气体</w:t>
      </w:r>
      <w:r>
        <w:rPr>
          <w:rFonts w:hint="eastAsia"/>
        </w:rPr>
        <w:t xml:space="preserve"> 产品碳足迹 量化</w:t>
      </w:r>
      <w:r>
        <w:t>要求和指南</w:t>
      </w:r>
    </w:p>
    <w:p>
      <w:pPr>
        <w:pStyle w:val="58"/>
        <w:ind w:firstLine="420"/>
      </w:pPr>
      <w:r>
        <w:t xml:space="preserve">GB/T 31428-2021 </w:t>
      </w:r>
      <w:r>
        <w:rPr>
          <w:rFonts w:hint="eastAsia"/>
        </w:rPr>
        <w:t>煤化工术语</w:t>
      </w:r>
    </w:p>
    <w:p>
      <w:pPr>
        <w:pStyle w:val="58"/>
        <w:ind w:firstLine="420"/>
      </w:pPr>
      <w:r>
        <w:t xml:space="preserve">GB/T 32150-2015 </w:t>
      </w:r>
      <w:r>
        <w:rPr>
          <w:rFonts w:hint="eastAsia"/>
        </w:rPr>
        <w:t>工业企业温室气体排放核算和报告通则</w:t>
      </w:r>
    </w:p>
    <w:p>
      <w:pPr>
        <w:pStyle w:val="58"/>
        <w:ind w:firstLine="420"/>
      </w:pPr>
      <w:r>
        <w:t xml:space="preserve">GB/T 32151.10-2023 </w:t>
      </w:r>
      <w:r>
        <w:rPr>
          <w:rFonts w:hint="eastAsia"/>
        </w:rPr>
        <w:t>碳排放核算与报告要求 第10部分：化工生产企业</w:t>
      </w:r>
    </w:p>
    <w:p>
      <w:pPr>
        <w:pStyle w:val="106"/>
        <w:spacing w:before="240" w:after="240"/>
      </w:pPr>
      <w:bookmarkStart w:id="44" w:name="_Toc201828345"/>
      <w:r>
        <w:rPr>
          <w:rFonts w:hint="eastAsia"/>
          <w:szCs w:val="21"/>
        </w:rPr>
        <w:t>术语和定义</w:t>
      </w:r>
      <w:bookmarkEnd w:id="44"/>
    </w:p>
    <w:sdt>
      <w:sdtPr>
        <w:id w:val="-1909835108"/>
        <w:placeholder>
          <w:docPart w:val="2B5F760AABE34AADBD5B05DBB4B89A6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8"/>
            <w:ind w:firstLine="420"/>
          </w:pPr>
          <w:bookmarkStart w:id="45" w:name="_Toc26986532"/>
          <w:bookmarkEnd w:id="45"/>
          <w:r>
            <w:rPr>
              <w:rFonts w:hint="eastAsia"/>
            </w:rPr>
            <w:t>GB/T 24067、GB/T 24040界定的以及下列术语和定义适用于本文件。</w:t>
          </w:r>
        </w:p>
      </w:sdtContent>
    </w:sdt>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煤制乙二醇 </w:t>
      </w:r>
      <w:r>
        <w:rPr>
          <w:rFonts w:ascii="黑体" w:hAnsi="黑体" w:eastAsia="黑体"/>
        </w:rPr>
        <w:t>coal to ethylene glycol</w:t>
      </w:r>
    </w:p>
    <w:p>
      <w:pPr>
        <w:pStyle w:val="58"/>
        <w:ind w:firstLine="420"/>
      </w:pPr>
      <w:r>
        <w:rPr>
          <w:rFonts w:hint="eastAsia"/>
        </w:rPr>
        <w:t>以煤为</w:t>
      </w:r>
      <w:r>
        <w:t>原料</w:t>
      </w:r>
      <w:r>
        <w:rPr>
          <w:rFonts w:hint="eastAsia"/>
        </w:rPr>
        <w:t>，经过</w:t>
      </w:r>
      <w:r>
        <w:t>气化合成</w:t>
      </w:r>
      <w:r>
        <w:rPr>
          <w:rFonts w:hint="eastAsia"/>
        </w:rPr>
        <w:t>乙二醇</w:t>
      </w:r>
      <w:r>
        <w:t>的工艺。</w:t>
      </w:r>
    </w:p>
    <w:p>
      <w:pPr>
        <w:pStyle w:val="58"/>
        <w:ind w:firstLine="420"/>
      </w:pPr>
      <w:r>
        <w:t>[</w:t>
      </w:r>
      <w:r>
        <w:rPr>
          <w:rFonts w:hint="eastAsia"/>
        </w:rPr>
        <w:t xml:space="preserve">来源：GB/T </w:t>
      </w:r>
      <w:r>
        <w:t>31428</w:t>
      </w:r>
      <w:r>
        <w:rPr>
          <w:rFonts w:hint="eastAsia"/>
        </w:rPr>
        <w:t>-20</w:t>
      </w:r>
      <w:r>
        <w:t>21</w:t>
      </w:r>
      <w:r>
        <w:rPr>
          <w:rFonts w:hint="eastAsia"/>
        </w:rPr>
        <w:t>，</w:t>
      </w:r>
      <w:r>
        <w:t>7.6]</w:t>
      </w:r>
    </w:p>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产品</w:t>
      </w:r>
      <w:r>
        <w:rPr>
          <w:rFonts w:ascii="黑体" w:hAnsi="黑体" w:eastAsia="黑体"/>
        </w:rPr>
        <w:t>碳足迹</w:t>
      </w:r>
      <w:r>
        <w:rPr>
          <w:rFonts w:hint="eastAsia" w:ascii="黑体" w:hAnsi="黑体" w:eastAsia="黑体"/>
        </w:rPr>
        <w:t xml:space="preserve"> </w:t>
      </w:r>
      <w:r>
        <w:rPr>
          <w:rFonts w:ascii="黑体" w:hAnsi="黑体" w:eastAsia="黑体"/>
        </w:rPr>
        <w:t>carbon footprint of a product;CFP</w:t>
      </w:r>
    </w:p>
    <w:p>
      <w:pPr>
        <w:pStyle w:val="58"/>
        <w:ind w:firstLine="420"/>
      </w:pPr>
      <w:r>
        <w:rPr>
          <w:rFonts w:hint="eastAsia"/>
        </w:rPr>
        <w:t>产品</w:t>
      </w:r>
      <w:r>
        <w:t>系统</w:t>
      </w:r>
      <w:r>
        <w:rPr>
          <w:rFonts w:hint="eastAsia"/>
        </w:rPr>
        <w:t>中</w:t>
      </w:r>
      <w:r>
        <w:t>的</w:t>
      </w:r>
      <w:r>
        <w:rPr>
          <w:rFonts w:hint="eastAsia"/>
        </w:rPr>
        <w:t>GHG排放量</w:t>
      </w:r>
      <w:r>
        <w:t>和</w:t>
      </w:r>
      <w:r>
        <w:rPr>
          <w:rFonts w:hint="eastAsia"/>
        </w:rPr>
        <w:t>GHG清除</w:t>
      </w:r>
      <w:r>
        <w:t>量之和，</w:t>
      </w:r>
      <w:r>
        <w:rPr>
          <w:rFonts w:hint="eastAsia"/>
        </w:rPr>
        <w:t>以</w:t>
      </w:r>
      <w:r>
        <w:t>二氧化碳当量表示</w:t>
      </w:r>
      <w:r>
        <w:rPr>
          <w:rFonts w:hint="eastAsia"/>
        </w:rPr>
        <w:t>，</w:t>
      </w:r>
      <w:r>
        <w:t>并基于</w:t>
      </w:r>
      <w:r>
        <w:rPr>
          <w:rFonts w:hint="eastAsia"/>
        </w:rPr>
        <w:t>气候</w:t>
      </w:r>
      <w:r>
        <w:t>变化</w:t>
      </w:r>
      <w:r>
        <w:rPr>
          <w:rFonts w:hint="eastAsia"/>
        </w:rPr>
        <w:t>这一</w:t>
      </w:r>
      <w:r>
        <w:t>单一环境</w:t>
      </w:r>
      <w:r>
        <w:rPr>
          <w:rFonts w:hint="eastAsia"/>
        </w:rPr>
        <w:t>影响类型</w:t>
      </w:r>
      <w:r>
        <w:t>进行生命周期</w:t>
      </w:r>
      <w:r>
        <w:rPr>
          <w:rFonts w:hint="eastAsia"/>
        </w:rPr>
        <w:t>评价</w:t>
      </w:r>
      <w:r>
        <w:t>。</w:t>
      </w:r>
    </w:p>
    <w:p>
      <w:pPr>
        <w:pStyle w:val="182"/>
      </w:pPr>
      <w:r>
        <w:rPr>
          <w:rFonts w:hint="eastAsia"/>
        </w:rPr>
        <w:t>产品</w:t>
      </w:r>
      <w:r>
        <w:t>碳足迹可用于</w:t>
      </w:r>
      <w:r>
        <w:rPr>
          <w:rFonts w:hint="eastAsia"/>
        </w:rPr>
        <w:t>不同的图类</w:t>
      </w:r>
      <w:r>
        <w:t>区分</w:t>
      </w:r>
      <w:r>
        <w:rPr>
          <w:rFonts w:hint="eastAsia"/>
        </w:rPr>
        <w:t>和</w:t>
      </w:r>
      <w:r>
        <w:t>标示具体的</w:t>
      </w:r>
      <w:r>
        <w:rPr>
          <w:rFonts w:hint="eastAsia"/>
        </w:rPr>
        <w:t>GHG排放量</w:t>
      </w:r>
      <w:r>
        <w:t>和清除量</w:t>
      </w:r>
      <w:r>
        <w:rPr>
          <w:rFonts w:hint="eastAsia"/>
        </w:rPr>
        <w:t>，产品</w:t>
      </w:r>
      <w:r>
        <w:t>碳足迹也可</w:t>
      </w:r>
      <w:r>
        <w:rPr>
          <w:rFonts w:hint="eastAsia"/>
        </w:rPr>
        <w:t>被</w:t>
      </w:r>
      <w:r>
        <w:t>分解</w:t>
      </w:r>
      <w:r>
        <w:rPr>
          <w:rFonts w:hint="eastAsia"/>
        </w:rPr>
        <w:t>到</w:t>
      </w:r>
      <w:r>
        <w:t>其他生命周期</w:t>
      </w:r>
      <w:r>
        <w:rPr>
          <w:rFonts w:hint="eastAsia"/>
        </w:rPr>
        <w:t>的</w:t>
      </w:r>
      <w:r>
        <w:t>各个阶段。</w:t>
      </w:r>
    </w:p>
    <w:p>
      <w:pPr>
        <w:pStyle w:val="182"/>
      </w:pPr>
      <w:r>
        <w:rPr>
          <w:rFonts w:hint="eastAsia"/>
        </w:rPr>
        <w:t>产品</w:t>
      </w:r>
      <w:r>
        <w:t>碳足迹研究报告中</w:t>
      </w:r>
      <w:r>
        <w:rPr>
          <w:rFonts w:hint="eastAsia"/>
        </w:rPr>
        <w:t>记录</w:t>
      </w:r>
      <w:r>
        <w:t>了产品碳足迹</w:t>
      </w:r>
      <w:r>
        <w:rPr>
          <w:rFonts w:hint="eastAsia"/>
        </w:rPr>
        <w:t>的</w:t>
      </w:r>
      <w:r>
        <w:t>量化结果，</w:t>
      </w:r>
      <w:r>
        <w:rPr>
          <w:rFonts w:hint="eastAsia"/>
        </w:rPr>
        <w:t>以</w:t>
      </w:r>
      <w:r>
        <w:t>每个功能单位</w:t>
      </w:r>
      <w:r>
        <w:rPr>
          <w:rFonts w:hint="eastAsia"/>
        </w:rPr>
        <w:t>的</w:t>
      </w:r>
      <w:r>
        <w:t>二氧化碳当量</w:t>
      </w:r>
      <w:r>
        <w:rPr>
          <w:rFonts w:hint="eastAsia"/>
        </w:rPr>
        <w:t>表示</w:t>
      </w:r>
      <w:r>
        <w:t>。</w:t>
      </w:r>
    </w:p>
    <w:p>
      <w:pPr>
        <w:pStyle w:val="58"/>
        <w:ind w:firstLine="420"/>
        <w:rPr>
          <w:szCs w:val="21"/>
        </w:rPr>
      </w:pPr>
      <w:r>
        <w:rPr>
          <w:szCs w:val="21"/>
        </w:rPr>
        <w:t>[</w:t>
      </w:r>
      <w:r>
        <w:rPr>
          <w:rFonts w:hint="eastAsia"/>
          <w:szCs w:val="21"/>
        </w:rPr>
        <w:t>来源：</w:t>
      </w:r>
      <w:r>
        <w:rPr>
          <w:szCs w:val="21"/>
        </w:rPr>
        <w:t>GB/T</w:t>
      </w:r>
      <w:r>
        <w:rPr>
          <w:rFonts w:hint="eastAsia"/>
          <w:szCs w:val="21"/>
        </w:rPr>
        <w:t xml:space="preserve"> </w:t>
      </w:r>
      <w:r>
        <w:rPr>
          <w:szCs w:val="21"/>
        </w:rPr>
        <w:t>2</w:t>
      </w:r>
      <w:r>
        <w:rPr>
          <w:rFonts w:hint="eastAsia"/>
          <w:szCs w:val="21"/>
        </w:rPr>
        <w:t>4067-20</w:t>
      </w:r>
      <w:r>
        <w:rPr>
          <w:szCs w:val="21"/>
        </w:rPr>
        <w:t>24</w:t>
      </w:r>
      <w:r>
        <w:rPr>
          <w:rFonts w:hint="eastAsia"/>
          <w:szCs w:val="21"/>
        </w:rPr>
        <w:t>，3</w:t>
      </w:r>
      <w:r>
        <w:rPr>
          <w:szCs w:val="21"/>
        </w:rPr>
        <w:t>.1.1]</w:t>
      </w:r>
    </w:p>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产品</w:t>
      </w:r>
      <w:r>
        <w:rPr>
          <w:rFonts w:ascii="黑体" w:hAnsi="黑体" w:eastAsia="黑体"/>
        </w:rPr>
        <w:t>部分碳足迹</w:t>
      </w:r>
      <w:r>
        <w:rPr>
          <w:rFonts w:hint="eastAsia" w:ascii="黑体" w:hAnsi="黑体" w:eastAsia="黑体"/>
        </w:rPr>
        <w:t xml:space="preserve"> </w:t>
      </w:r>
      <w:r>
        <w:rPr>
          <w:rFonts w:ascii="黑体" w:hAnsi="黑体" w:eastAsia="黑体"/>
        </w:rPr>
        <w:t>partial carbon footprint of a product; partial CFP</w:t>
      </w:r>
    </w:p>
    <w:p>
      <w:pPr>
        <w:pStyle w:val="58"/>
        <w:ind w:firstLine="420"/>
      </w:pPr>
      <w:r>
        <w:rPr>
          <w:rFonts w:hint="eastAsia"/>
        </w:rPr>
        <w:t>在</w:t>
      </w:r>
      <w:r>
        <w:t>产品系统生命周期内</w:t>
      </w:r>
      <w:r>
        <w:rPr>
          <w:rFonts w:hint="eastAsia"/>
        </w:rPr>
        <w:t>的</w:t>
      </w:r>
      <w:r>
        <w:t>一个或多个</w:t>
      </w:r>
      <w:r>
        <w:rPr>
          <w:rFonts w:hint="eastAsia"/>
        </w:rPr>
        <w:t>选定</w:t>
      </w:r>
      <w:r>
        <w:t>阶段</w:t>
      </w:r>
      <w:r>
        <w:rPr>
          <w:rFonts w:hint="eastAsia"/>
        </w:rPr>
        <w:t>或</w:t>
      </w:r>
      <w:r>
        <w:t>过程中</w:t>
      </w:r>
      <w:r>
        <w:rPr>
          <w:rFonts w:hint="eastAsia"/>
        </w:rPr>
        <w:t>的GHG排放量和GHG清除量之和</w:t>
      </w:r>
      <w:r>
        <w:t>，</w:t>
      </w:r>
      <w:r>
        <w:rPr>
          <w:rFonts w:hint="eastAsia"/>
        </w:rPr>
        <w:t>并以</w:t>
      </w:r>
      <w:r>
        <w:t>二氧化碳当量表示。</w:t>
      </w:r>
    </w:p>
    <w:p>
      <w:pPr>
        <w:pStyle w:val="182"/>
        <w:numPr>
          <w:ilvl w:val="0"/>
          <w:numId w:val="32"/>
        </w:numPr>
      </w:pPr>
      <w:r>
        <w:rPr>
          <w:rFonts w:hint="eastAsia"/>
        </w:rPr>
        <w:t>产品</w:t>
      </w:r>
      <w:r>
        <w:t>部分碳足迹是</w:t>
      </w:r>
      <w:r>
        <w:rPr>
          <w:rFonts w:hint="eastAsia"/>
        </w:rPr>
        <w:t>基于或</w:t>
      </w:r>
      <w:r>
        <w:t>由</w:t>
      </w:r>
      <w:r>
        <w:rPr>
          <w:rFonts w:hint="eastAsia"/>
        </w:rPr>
        <w:t>与特定过程或</w:t>
      </w:r>
      <w:r>
        <w:t>足迹</w:t>
      </w:r>
      <w:r>
        <w:rPr>
          <w:rFonts w:hint="eastAsia"/>
        </w:rPr>
        <w:t>信息模型</w:t>
      </w:r>
      <w:r>
        <w:t>有关</w:t>
      </w:r>
      <w:r>
        <w:rPr>
          <w:rFonts w:hint="eastAsia"/>
        </w:rPr>
        <w:t>的</w:t>
      </w:r>
      <w:r>
        <w:t>数据汇集而成</w:t>
      </w:r>
      <w:r>
        <w:rPr>
          <w:rFonts w:hint="eastAsia"/>
        </w:rPr>
        <w:t>，</w:t>
      </w:r>
      <w:r>
        <w:t>这些数据</w:t>
      </w:r>
      <w:r>
        <w:rPr>
          <w:rFonts w:hint="eastAsia"/>
        </w:rPr>
        <w:t>是</w:t>
      </w:r>
      <w:r>
        <w:t>产品系统</w:t>
      </w:r>
      <w:r>
        <w:rPr>
          <w:rFonts w:hint="eastAsia"/>
        </w:rPr>
        <w:t>的</w:t>
      </w:r>
      <w:r>
        <w:t>一部分</w:t>
      </w:r>
      <w:r>
        <w:rPr>
          <w:rFonts w:hint="eastAsia"/>
        </w:rPr>
        <w:t>，</w:t>
      </w:r>
      <w:r>
        <w:t>可作为产品碳足迹</w:t>
      </w:r>
      <w:r>
        <w:rPr>
          <w:rFonts w:hint="eastAsia"/>
        </w:rPr>
        <w:t>量化</w:t>
      </w:r>
      <w:r>
        <w:t>的基础</w:t>
      </w:r>
      <w:r>
        <w:rPr>
          <w:rFonts w:hint="eastAsia"/>
        </w:rPr>
        <w:t>。</w:t>
      </w:r>
    </w:p>
    <w:p>
      <w:pPr>
        <w:pStyle w:val="182"/>
        <w:numPr>
          <w:ilvl w:val="0"/>
          <w:numId w:val="32"/>
        </w:numPr>
      </w:pPr>
      <w:r>
        <w:rPr>
          <w:rFonts w:hint="eastAsia"/>
        </w:rPr>
        <w:t>“足迹</w:t>
      </w:r>
      <w:r>
        <w:t>信息</w:t>
      </w:r>
      <w:r>
        <w:rPr>
          <w:rFonts w:hint="eastAsia"/>
        </w:rPr>
        <w:t>模型”的</w:t>
      </w:r>
      <w:r>
        <w:t>定义</w:t>
      </w:r>
      <w:r>
        <w:rPr>
          <w:rFonts w:hint="eastAsia"/>
        </w:rPr>
        <w:t>见ISO</w:t>
      </w:r>
      <w:r>
        <w:t xml:space="preserve"> 14026</w:t>
      </w:r>
      <w:r>
        <w:rPr>
          <w:rFonts w:hint="eastAsia"/>
        </w:rPr>
        <w:t>:2017,3.1.4。</w:t>
      </w:r>
    </w:p>
    <w:p>
      <w:pPr>
        <w:pStyle w:val="182"/>
        <w:numPr>
          <w:ilvl w:val="0"/>
          <w:numId w:val="32"/>
        </w:numPr>
      </w:pPr>
      <w:r>
        <w:rPr>
          <w:rFonts w:hint="eastAsia"/>
        </w:rPr>
        <w:t>产品</w:t>
      </w:r>
      <w:r>
        <w:t>碳足迹研究报告中</w:t>
      </w:r>
      <w:r>
        <w:rPr>
          <w:rFonts w:hint="eastAsia"/>
        </w:rPr>
        <w:t>记录</w:t>
      </w:r>
      <w:r>
        <w:t>了产品</w:t>
      </w:r>
      <w:r>
        <w:rPr>
          <w:rFonts w:hint="eastAsia"/>
        </w:rPr>
        <w:t>部分</w:t>
      </w:r>
      <w:r>
        <w:t>碳足迹</w:t>
      </w:r>
      <w:r>
        <w:rPr>
          <w:rFonts w:hint="eastAsia"/>
        </w:rPr>
        <w:t>的</w:t>
      </w:r>
      <w:r>
        <w:t>量化结果</w:t>
      </w:r>
      <w:r>
        <w:rPr>
          <w:rFonts w:hint="eastAsia"/>
        </w:rPr>
        <w:t>，</w:t>
      </w:r>
      <w:r>
        <w:t>以每个</w:t>
      </w:r>
      <w:r>
        <w:rPr>
          <w:rFonts w:hint="eastAsia"/>
        </w:rPr>
        <w:t>声明</w:t>
      </w:r>
      <w:r>
        <w:t>单位</w:t>
      </w:r>
      <w:r>
        <w:rPr>
          <w:rFonts w:hint="eastAsia"/>
        </w:rPr>
        <w:t>的</w:t>
      </w:r>
      <w:r>
        <w:t>二氧化碳当量</w:t>
      </w:r>
      <w:r>
        <w:rPr>
          <w:rFonts w:hint="eastAsia"/>
        </w:rPr>
        <w:t>表示</w:t>
      </w:r>
      <w:r>
        <w:t>。</w:t>
      </w:r>
    </w:p>
    <w:p>
      <w:pPr>
        <w:pStyle w:val="58"/>
        <w:ind w:firstLine="420"/>
        <w:rPr>
          <w:szCs w:val="21"/>
        </w:rPr>
      </w:pPr>
      <w:r>
        <w:rPr>
          <w:szCs w:val="21"/>
        </w:rPr>
        <w:t>[</w:t>
      </w:r>
      <w:r>
        <w:rPr>
          <w:rFonts w:hint="eastAsia"/>
          <w:szCs w:val="21"/>
        </w:rPr>
        <w:t>来源：</w:t>
      </w:r>
      <w:r>
        <w:rPr>
          <w:szCs w:val="21"/>
        </w:rPr>
        <w:t>GB/T</w:t>
      </w:r>
      <w:r>
        <w:rPr>
          <w:rFonts w:hint="eastAsia"/>
          <w:szCs w:val="21"/>
        </w:rPr>
        <w:t xml:space="preserve"> </w:t>
      </w:r>
      <w:r>
        <w:rPr>
          <w:szCs w:val="21"/>
        </w:rPr>
        <w:t>2</w:t>
      </w:r>
      <w:r>
        <w:rPr>
          <w:rFonts w:hint="eastAsia"/>
          <w:szCs w:val="21"/>
        </w:rPr>
        <w:t>4067-20</w:t>
      </w:r>
      <w:r>
        <w:rPr>
          <w:szCs w:val="21"/>
        </w:rPr>
        <w:t>24</w:t>
      </w:r>
      <w:r>
        <w:rPr>
          <w:rFonts w:hint="eastAsia"/>
          <w:szCs w:val="21"/>
        </w:rPr>
        <w:t>，3</w:t>
      </w:r>
      <w:r>
        <w:rPr>
          <w:szCs w:val="21"/>
        </w:rPr>
        <w:t>.1.2]</w:t>
      </w:r>
    </w:p>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产品</w:t>
      </w:r>
      <w:r>
        <w:rPr>
          <w:rFonts w:ascii="黑体" w:hAnsi="黑体" w:eastAsia="黑体"/>
        </w:rPr>
        <w:t>种类</w:t>
      </w:r>
      <w:r>
        <w:rPr>
          <w:rFonts w:hint="eastAsia" w:ascii="黑体" w:hAnsi="黑体" w:eastAsia="黑体"/>
        </w:rPr>
        <w:t xml:space="preserve"> </w:t>
      </w:r>
      <w:r>
        <w:rPr>
          <w:rFonts w:ascii="黑体" w:hAnsi="黑体" w:eastAsia="黑体"/>
        </w:rPr>
        <w:t>product category</w:t>
      </w:r>
    </w:p>
    <w:p>
      <w:pPr>
        <w:pStyle w:val="58"/>
        <w:ind w:firstLine="420"/>
      </w:pPr>
      <w:r>
        <w:rPr>
          <w:rFonts w:hint="eastAsia"/>
        </w:rPr>
        <w:t>具有</w:t>
      </w:r>
      <w:r>
        <w:t>同等功能</w:t>
      </w:r>
      <w:r>
        <w:rPr>
          <w:rFonts w:hint="eastAsia"/>
        </w:rPr>
        <w:t>的</w:t>
      </w:r>
      <w:r>
        <w:t>产品</w:t>
      </w:r>
      <w:r>
        <w:rPr>
          <w:rFonts w:hint="eastAsia"/>
        </w:rPr>
        <w:t>群组</w:t>
      </w:r>
      <w:r>
        <w:t>。</w:t>
      </w:r>
    </w:p>
    <w:p>
      <w:pPr>
        <w:pStyle w:val="58"/>
        <w:ind w:firstLine="420"/>
      </w:pPr>
      <w:r>
        <w:t>[</w:t>
      </w:r>
      <w:r>
        <w:rPr>
          <w:rFonts w:hint="eastAsia"/>
        </w:rPr>
        <w:t>来源：GB/T 2</w:t>
      </w:r>
      <w:r>
        <w:t>4067</w:t>
      </w:r>
      <w:r>
        <w:rPr>
          <w:rFonts w:hint="eastAsia"/>
        </w:rPr>
        <w:t>-20</w:t>
      </w:r>
      <w:r>
        <w:t>24</w:t>
      </w:r>
      <w:r>
        <w:rPr>
          <w:rFonts w:hint="eastAsia"/>
        </w:rPr>
        <w:t>，3.1.8</w:t>
      </w:r>
      <w:r>
        <w:t>]</w:t>
      </w:r>
    </w:p>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产品</w:t>
      </w:r>
      <w:r>
        <w:rPr>
          <w:rFonts w:ascii="黑体" w:hAnsi="黑体" w:eastAsia="黑体"/>
        </w:rPr>
        <w:t>碳足迹</w:t>
      </w:r>
      <w:r>
        <w:rPr>
          <w:rFonts w:hint="eastAsia" w:ascii="黑体" w:hAnsi="黑体" w:eastAsia="黑体"/>
        </w:rPr>
        <w:t>-产品</w:t>
      </w:r>
      <w:r>
        <w:rPr>
          <w:rFonts w:ascii="黑体" w:hAnsi="黑体" w:eastAsia="黑体"/>
        </w:rPr>
        <w:t>种类规则</w:t>
      </w:r>
      <w:r>
        <w:rPr>
          <w:rFonts w:hint="eastAsia" w:ascii="黑体" w:hAnsi="黑体" w:eastAsia="黑体"/>
        </w:rPr>
        <w:t xml:space="preserve"> </w:t>
      </w:r>
      <w:r>
        <w:rPr>
          <w:rFonts w:ascii="黑体" w:hAnsi="黑体" w:eastAsia="黑体"/>
        </w:rPr>
        <w:t>carbon footprint of a product- product category rules</w:t>
      </w:r>
      <w:r>
        <w:rPr>
          <w:rFonts w:hint="eastAsia" w:ascii="黑体" w:hAnsi="黑体" w:eastAsia="黑体"/>
        </w:rPr>
        <w:t>；CFP-</w:t>
      </w:r>
      <w:r>
        <w:rPr>
          <w:rFonts w:ascii="黑体" w:hAnsi="黑体" w:eastAsia="黑体"/>
        </w:rPr>
        <w:t>PCR</w:t>
      </w:r>
    </w:p>
    <w:p>
      <w:pPr>
        <w:pStyle w:val="58"/>
        <w:ind w:firstLine="420"/>
        <w:rPr>
          <w:rFonts w:hAnsi="宋体"/>
        </w:rPr>
      </w:pPr>
      <w:r>
        <w:rPr>
          <w:rFonts w:hint="eastAsia" w:hAnsi="宋体"/>
        </w:rPr>
        <w:t>为</w:t>
      </w:r>
      <w:r>
        <w:rPr>
          <w:rFonts w:hAnsi="宋体"/>
        </w:rPr>
        <w:t>一个或多个</w:t>
      </w:r>
      <w:r>
        <w:rPr>
          <w:rFonts w:hint="eastAsia" w:hAnsi="宋体"/>
        </w:rPr>
        <w:t>产品</w:t>
      </w:r>
      <w:r>
        <w:rPr>
          <w:rFonts w:hAnsi="宋体"/>
        </w:rPr>
        <w:t>种类</w:t>
      </w:r>
      <w:r>
        <w:rPr>
          <w:rFonts w:hint="eastAsia" w:hAnsi="宋体"/>
        </w:rPr>
        <w:t>的</w:t>
      </w:r>
      <w:r>
        <w:rPr>
          <w:rFonts w:hAnsi="宋体"/>
        </w:rPr>
        <w:t>产品碳足迹</w:t>
      </w:r>
      <w:r>
        <w:rPr>
          <w:rFonts w:hint="eastAsia" w:hAnsi="宋体"/>
        </w:rPr>
        <w:t>或</w:t>
      </w:r>
      <w:r>
        <w:rPr>
          <w:rFonts w:hAnsi="宋体"/>
        </w:rPr>
        <w:t>产品部分碳足迹</w:t>
      </w:r>
      <w:r>
        <w:rPr>
          <w:rFonts w:hint="eastAsia" w:hAnsi="宋体"/>
        </w:rPr>
        <w:t>的</w:t>
      </w:r>
      <w:r>
        <w:rPr>
          <w:rFonts w:hAnsi="宋体"/>
        </w:rPr>
        <w:t>量化</w:t>
      </w:r>
      <w:r>
        <w:rPr>
          <w:rFonts w:hint="eastAsia" w:hAnsi="宋体"/>
        </w:rPr>
        <w:t>和</w:t>
      </w:r>
      <w:r>
        <w:rPr>
          <w:rFonts w:hAnsi="宋体"/>
        </w:rPr>
        <w:t>信息交流</w:t>
      </w:r>
      <w:r>
        <w:rPr>
          <w:rFonts w:hint="eastAsia" w:hAnsi="宋体"/>
        </w:rPr>
        <w:t>制定</w:t>
      </w:r>
      <w:r>
        <w:rPr>
          <w:rFonts w:hAnsi="宋体"/>
        </w:rPr>
        <w:t>的一套具体</w:t>
      </w:r>
      <w:r>
        <w:rPr>
          <w:rFonts w:hint="eastAsia" w:hAnsi="宋体"/>
        </w:rPr>
        <w:t>规则</w:t>
      </w:r>
      <w:r>
        <w:rPr>
          <w:rFonts w:hAnsi="宋体"/>
        </w:rPr>
        <w:t>、</w:t>
      </w:r>
      <w:r>
        <w:rPr>
          <w:rFonts w:hint="eastAsia" w:hAnsi="宋体"/>
        </w:rPr>
        <w:t>要求</w:t>
      </w:r>
      <w:r>
        <w:rPr>
          <w:rFonts w:hAnsi="宋体"/>
        </w:rPr>
        <w:t>和指南。</w:t>
      </w:r>
    </w:p>
    <w:p>
      <w:pPr>
        <w:pStyle w:val="182"/>
        <w:numPr>
          <w:ilvl w:val="0"/>
          <w:numId w:val="33"/>
        </w:numPr>
      </w:pPr>
      <w:r>
        <w:rPr>
          <w:rFonts w:hint="eastAsia"/>
        </w:rPr>
        <w:t>产品</w:t>
      </w:r>
      <w:r>
        <w:t>碳足迹</w:t>
      </w:r>
      <w:r>
        <w:rPr>
          <w:rFonts w:hint="eastAsia"/>
        </w:rPr>
        <w:t>-产品种类规则包含</w:t>
      </w:r>
      <w:r>
        <w:t>的</w:t>
      </w:r>
      <w:r>
        <w:rPr>
          <w:rFonts w:hint="eastAsia"/>
        </w:rPr>
        <w:t xml:space="preserve">量化规则与GB/T </w:t>
      </w:r>
      <w:r>
        <w:t>24044</w:t>
      </w:r>
      <w:r>
        <w:rPr>
          <w:rFonts w:hint="eastAsia"/>
        </w:rPr>
        <w:t>一致。</w:t>
      </w:r>
    </w:p>
    <w:p>
      <w:pPr>
        <w:pStyle w:val="182"/>
        <w:numPr>
          <w:ilvl w:val="0"/>
          <w:numId w:val="33"/>
        </w:numPr>
      </w:pPr>
      <w:r>
        <w:t>ISO/TS 14027:2017</w:t>
      </w:r>
      <w:r>
        <w:rPr>
          <w:rFonts w:hint="eastAsia"/>
        </w:rPr>
        <w:t>介绍了</w:t>
      </w:r>
      <w:r>
        <w:t>适用</w:t>
      </w:r>
      <w:r>
        <w:rPr>
          <w:rFonts w:hint="eastAsia"/>
        </w:rPr>
        <w:t>于本文</w:t>
      </w:r>
      <w:r>
        <w:t>件</w:t>
      </w:r>
      <w:r>
        <w:rPr>
          <w:rFonts w:hint="eastAsia"/>
        </w:rPr>
        <w:t>产品种类</w:t>
      </w:r>
      <w:r>
        <w:t>规则</w:t>
      </w:r>
      <w:r>
        <w:rPr>
          <w:rFonts w:hint="eastAsia"/>
        </w:rPr>
        <w:t>的</w:t>
      </w:r>
      <w:r>
        <w:t>制定</w:t>
      </w:r>
      <w:r>
        <w:rPr>
          <w:rFonts w:hint="eastAsia"/>
        </w:rPr>
        <w:t>。</w:t>
      </w:r>
    </w:p>
    <w:p>
      <w:pPr>
        <w:pStyle w:val="58"/>
        <w:ind w:firstLine="420"/>
        <w:rPr>
          <w:szCs w:val="21"/>
        </w:rPr>
      </w:pPr>
      <w:r>
        <w:rPr>
          <w:szCs w:val="21"/>
        </w:rPr>
        <w:t>[</w:t>
      </w:r>
      <w:r>
        <w:rPr>
          <w:rFonts w:hint="eastAsia"/>
          <w:szCs w:val="21"/>
        </w:rPr>
        <w:t>来源：</w:t>
      </w:r>
      <w:r>
        <w:rPr>
          <w:szCs w:val="21"/>
        </w:rPr>
        <w:t>GB/T</w:t>
      </w:r>
      <w:r>
        <w:rPr>
          <w:rFonts w:hint="eastAsia"/>
          <w:szCs w:val="21"/>
        </w:rPr>
        <w:t xml:space="preserve"> </w:t>
      </w:r>
      <w:r>
        <w:rPr>
          <w:szCs w:val="21"/>
        </w:rPr>
        <w:t>2</w:t>
      </w:r>
      <w:r>
        <w:rPr>
          <w:rFonts w:hint="eastAsia"/>
          <w:szCs w:val="21"/>
        </w:rPr>
        <w:t>4067-20</w:t>
      </w:r>
      <w:r>
        <w:rPr>
          <w:szCs w:val="21"/>
        </w:rPr>
        <w:t>24</w:t>
      </w:r>
      <w:r>
        <w:rPr>
          <w:rFonts w:hint="eastAsia"/>
          <w:szCs w:val="21"/>
        </w:rPr>
        <w:t>，3</w:t>
      </w:r>
      <w:r>
        <w:rPr>
          <w:szCs w:val="21"/>
        </w:rPr>
        <w:t>.1.10]</w:t>
      </w:r>
    </w:p>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二氧化碳</w:t>
      </w:r>
      <w:r>
        <w:rPr>
          <w:rFonts w:ascii="黑体" w:hAnsi="黑体" w:eastAsia="黑体"/>
        </w:rPr>
        <w:t>当量</w:t>
      </w:r>
      <w:r>
        <w:rPr>
          <w:rFonts w:hint="eastAsia" w:ascii="黑体" w:hAnsi="黑体" w:eastAsia="黑体"/>
        </w:rPr>
        <w:t xml:space="preserve"> </w:t>
      </w:r>
      <w:r>
        <w:rPr>
          <w:rFonts w:ascii="黑体" w:hAnsi="黑体" w:eastAsia="黑体"/>
        </w:rPr>
        <w:t>carbon dioxide equivalent</w:t>
      </w:r>
      <w:r>
        <w:rPr>
          <w:rFonts w:hint="eastAsia" w:ascii="黑体" w:hAnsi="黑体" w:eastAsia="黑体"/>
        </w:rPr>
        <w:t>；</w:t>
      </w:r>
      <w:r>
        <w:rPr>
          <w:rFonts w:ascii="黑体" w:hAnsi="黑体" w:eastAsia="黑体"/>
        </w:rPr>
        <w:t>CO</w:t>
      </w:r>
      <w:r>
        <w:rPr>
          <w:rFonts w:ascii="黑体" w:hAnsi="黑体" w:eastAsia="黑体"/>
          <w:vertAlign w:val="subscript"/>
        </w:rPr>
        <w:t>2</w:t>
      </w:r>
      <w:r>
        <w:rPr>
          <w:rFonts w:ascii="黑体" w:hAnsi="黑体" w:eastAsia="黑体"/>
        </w:rPr>
        <w:t>e</w:t>
      </w:r>
    </w:p>
    <w:p>
      <w:pPr>
        <w:pStyle w:val="58"/>
        <w:ind w:firstLine="420"/>
      </w:pPr>
      <w:r>
        <w:rPr>
          <w:rFonts w:hint="eastAsia"/>
        </w:rPr>
        <w:t>比较</w:t>
      </w:r>
      <w:r>
        <w:t>某种温室气体</w:t>
      </w:r>
      <w:r>
        <w:rPr>
          <w:rFonts w:hint="eastAsia"/>
        </w:rPr>
        <w:t>与</w:t>
      </w:r>
      <w:r>
        <w:t>二氧化碳</w:t>
      </w:r>
      <w:r>
        <w:rPr>
          <w:rFonts w:hint="eastAsia"/>
        </w:rPr>
        <w:t>的</w:t>
      </w:r>
      <w:r>
        <w:t>辐射</w:t>
      </w:r>
      <w:r>
        <w:rPr>
          <w:rFonts w:hint="eastAsia"/>
        </w:rPr>
        <w:t>强迫</w:t>
      </w:r>
      <w:r>
        <w:t>的单位</w:t>
      </w:r>
      <w:r>
        <w:rPr>
          <w:rFonts w:hint="eastAsia"/>
        </w:rPr>
        <w:t>。</w:t>
      </w:r>
    </w:p>
    <w:p>
      <w:pPr>
        <w:pStyle w:val="181"/>
      </w:pPr>
      <w:r>
        <w:rPr>
          <w:rFonts w:hint="eastAsia"/>
        </w:rPr>
        <w:t>给定</w:t>
      </w:r>
      <w:r>
        <w:t>温室气体的二氧化碳</w:t>
      </w:r>
      <w:r>
        <w:rPr>
          <w:rFonts w:hint="eastAsia"/>
        </w:rPr>
        <w:t>当量</w:t>
      </w:r>
      <w:r>
        <w:t>等于</w:t>
      </w:r>
      <w:r>
        <w:rPr>
          <w:rFonts w:hint="eastAsia"/>
        </w:rPr>
        <w:t>该</w:t>
      </w:r>
      <w:r>
        <w:t>温室气体</w:t>
      </w:r>
      <w:r>
        <w:rPr>
          <w:rFonts w:hint="eastAsia"/>
        </w:rPr>
        <w:t>质量</w:t>
      </w:r>
      <w:r>
        <w:t>乘以</w:t>
      </w:r>
      <w:r>
        <w:rPr>
          <w:rFonts w:hint="eastAsia"/>
        </w:rPr>
        <w:t>它的全球</w:t>
      </w:r>
      <w:r>
        <w:t>变暖</w:t>
      </w:r>
      <w:r>
        <w:rPr>
          <w:rFonts w:hint="eastAsia"/>
        </w:rPr>
        <w:t>潜势值。</w:t>
      </w:r>
    </w:p>
    <w:p>
      <w:pPr>
        <w:pStyle w:val="58"/>
        <w:ind w:firstLine="420"/>
      </w:pPr>
      <w:r>
        <w:t>[</w:t>
      </w:r>
      <w:r>
        <w:rPr>
          <w:rFonts w:hint="eastAsia"/>
        </w:rPr>
        <w:t>来源：GB/T 240</w:t>
      </w:r>
      <w:r>
        <w:t>67</w:t>
      </w:r>
      <w:r>
        <w:rPr>
          <w:rFonts w:hint="eastAsia"/>
        </w:rPr>
        <w:t>-20</w:t>
      </w:r>
      <w:r>
        <w:t>24</w:t>
      </w:r>
      <w:r>
        <w:rPr>
          <w:rFonts w:hint="eastAsia"/>
        </w:rPr>
        <w:t>，3.</w:t>
      </w:r>
      <w:r>
        <w:t>2.2]</w:t>
      </w:r>
    </w:p>
    <w:p>
      <w:pPr>
        <w:pStyle w:val="225"/>
        <w:ind w:left="420" w:hanging="420" w:hangingChars="200"/>
      </w:pPr>
      <w:r>
        <w:rPr>
          <w:rFonts w:ascii="黑体" w:hAnsi="黑体" w:eastAsia="黑体"/>
        </w:rPr>
        <w:br w:type="textWrapping"/>
      </w:r>
      <w:r>
        <w:rPr>
          <w:rFonts w:hint="eastAsia" w:ascii="黑体" w:hAnsi="黑体" w:eastAsia="黑体"/>
        </w:rPr>
        <w:t>温室</w:t>
      </w:r>
      <w:r>
        <w:rPr>
          <w:rFonts w:ascii="黑体" w:hAnsi="黑体" w:eastAsia="黑体"/>
        </w:rPr>
        <w:t>气体</w:t>
      </w:r>
      <w:r>
        <w:rPr>
          <w:rFonts w:hint="eastAsia" w:ascii="黑体" w:hAnsi="黑体" w:eastAsia="黑体"/>
        </w:rPr>
        <w:t xml:space="preserve"> </w:t>
      </w:r>
      <w:r>
        <w:rPr>
          <w:rFonts w:ascii="黑体" w:hAnsi="黑体" w:eastAsia="黑体"/>
        </w:rPr>
        <w:t xml:space="preserve">greenhouse gas </w:t>
      </w:r>
      <w:r>
        <w:rPr>
          <w:rFonts w:hint="eastAsia" w:ascii="黑体" w:hAnsi="黑体" w:eastAsia="黑体"/>
        </w:rPr>
        <w:t>；</w:t>
      </w:r>
      <w:r>
        <w:rPr>
          <w:rFonts w:hint="eastAsia"/>
        </w:rPr>
        <w:t>GHG</w:t>
      </w:r>
    </w:p>
    <w:p>
      <w:pPr>
        <w:pStyle w:val="58"/>
        <w:ind w:firstLine="420"/>
      </w:pPr>
      <w:r>
        <w:rPr>
          <w:rFonts w:hint="eastAsia"/>
        </w:rPr>
        <w:t>大气层</w:t>
      </w:r>
      <w:r>
        <w:t>中</w:t>
      </w:r>
      <w:r>
        <w:rPr>
          <w:rFonts w:hint="eastAsia"/>
        </w:rPr>
        <w:t>自然</w:t>
      </w:r>
      <w:r>
        <w:t>存在</w:t>
      </w:r>
      <w:r>
        <w:rPr>
          <w:rFonts w:hint="eastAsia"/>
        </w:rPr>
        <w:t>的</w:t>
      </w:r>
      <w:r>
        <w:t>和由</w:t>
      </w:r>
      <w:r>
        <w:rPr>
          <w:rFonts w:hint="eastAsia"/>
        </w:rPr>
        <w:t>于</w:t>
      </w:r>
      <w:r>
        <w:t>人类</w:t>
      </w:r>
      <w:r>
        <w:rPr>
          <w:rFonts w:hint="eastAsia"/>
        </w:rPr>
        <w:t>活动产生</w:t>
      </w:r>
      <w:r>
        <w:t>的</w:t>
      </w:r>
      <w:r>
        <w:rPr>
          <w:rFonts w:hint="eastAsia"/>
        </w:rPr>
        <w:t>能够吸收和</w:t>
      </w:r>
      <w:r>
        <w:t>散发地球表面</w:t>
      </w:r>
      <w:r>
        <w:rPr>
          <w:rFonts w:hint="eastAsia"/>
        </w:rPr>
        <w:t>、</w:t>
      </w:r>
      <w:r>
        <w:t>大气层</w:t>
      </w:r>
      <w:r>
        <w:rPr>
          <w:rFonts w:hint="eastAsia"/>
        </w:rPr>
        <w:t>和</w:t>
      </w:r>
      <w:r>
        <w:t>云层</w:t>
      </w:r>
      <w:r>
        <w:rPr>
          <w:rFonts w:hint="eastAsia"/>
        </w:rPr>
        <w:t>所</w:t>
      </w:r>
      <w:r>
        <w:t>产生</w:t>
      </w:r>
      <w:r>
        <w:rPr>
          <w:rFonts w:hint="eastAsia"/>
        </w:rPr>
        <w:t>的</w:t>
      </w:r>
      <w:r>
        <w:t>、</w:t>
      </w:r>
      <w:r>
        <w:rPr>
          <w:rFonts w:hint="eastAsia"/>
        </w:rPr>
        <w:t>波长</w:t>
      </w:r>
      <w:r>
        <w:t>在</w:t>
      </w:r>
      <w:r>
        <w:rPr>
          <w:rFonts w:hint="eastAsia"/>
        </w:rPr>
        <w:t>红外光谱</w:t>
      </w:r>
      <w:r>
        <w:t>内</w:t>
      </w:r>
      <w:r>
        <w:rPr>
          <w:rFonts w:hint="eastAsia"/>
        </w:rPr>
        <w:t>的</w:t>
      </w:r>
      <w:r>
        <w:t>辐射</w:t>
      </w:r>
      <w:r>
        <w:rPr>
          <w:rFonts w:hint="eastAsia"/>
        </w:rPr>
        <w:t>的</w:t>
      </w:r>
      <w:r>
        <w:t>气态</w:t>
      </w:r>
      <w:r>
        <w:rPr>
          <w:rFonts w:hint="eastAsia"/>
        </w:rPr>
        <w:t>成分</w:t>
      </w:r>
      <w:r>
        <w:t>。</w:t>
      </w:r>
    </w:p>
    <w:p>
      <w:pPr>
        <w:pStyle w:val="181"/>
      </w:pPr>
      <w:r>
        <w:rPr>
          <w:rFonts w:hint="eastAsia"/>
        </w:rPr>
        <w:t>本文件</w:t>
      </w:r>
      <w:r>
        <w:t>涉及</w:t>
      </w:r>
      <w:r>
        <w:rPr>
          <w:rFonts w:hint="eastAsia"/>
        </w:rPr>
        <w:t>的</w:t>
      </w:r>
      <w:r>
        <w:t>温室气体包括二氧化碳（</w:t>
      </w:r>
      <w:r>
        <w:rPr>
          <w:rFonts w:hint="eastAsia"/>
        </w:rPr>
        <w:t>CO</w:t>
      </w:r>
      <w:r>
        <w:rPr>
          <w:vertAlign w:val="subscript"/>
        </w:rPr>
        <w:t>2</w:t>
      </w:r>
      <w:r>
        <w:t>）</w:t>
      </w:r>
      <w:r>
        <w:rPr>
          <w:rFonts w:hint="eastAsia"/>
        </w:rPr>
        <w:t>、甲烷（CH</w:t>
      </w:r>
      <w:r>
        <w:rPr>
          <w:rFonts w:hint="eastAsia"/>
          <w:vertAlign w:val="subscript"/>
        </w:rPr>
        <w:t>4</w:t>
      </w:r>
      <w:r>
        <w:rPr>
          <w:rFonts w:hint="eastAsia"/>
        </w:rPr>
        <w:t>）、</w:t>
      </w:r>
      <w:r>
        <w:t>氧化亚氮（</w:t>
      </w:r>
      <w:r>
        <w:rPr>
          <w:rFonts w:hint="eastAsia"/>
        </w:rPr>
        <w:t>N</w:t>
      </w:r>
      <w:r>
        <w:rPr>
          <w:rFonts w:hint="eastAsia"/>
          <w:vertAlign w:val="subscript"/>
        </w:rPr>
        <w:t>2</w:t>
      </w:r>
      <w:r>
        <w:rPr>
          <w:rFonts w:hint="eastAsia"/>
        </w:rPr>
        <w:t>O</w:t>
      </w:r>
      <w:r>
        <w:t>）</w:t>
      </w:r>
      <w:r>
        <w:rPr>
          <w:rFonts w:hint="eastAsia"/>
        </w:rPr>
        <w:t>、</w:t>
      </w:r>
      <w:r>
        <w:t>氢氟</w:t>
      </w:r>
      <w:r>
        <w:rPr>
          <w:rFonts w:hint="eastAsia"/>
        </w:rPr>
        <w:t>碳化物</w:t>
      </w:r>
      <w:r>
        <w:t>（</w:t>
      </w:r>
      <w:r>
        <w:rPr>
          <w:rFonts w:hint="eastAsia"/>
        </w:rPr>
        <w:t>HFC</w:t>
      </w:r>
      <w:r>
        <w:rPr>
          <w:rFonts w:hint="eastAsia"/>
          <w:vertAlign w:val="subscript"/>
        </w:rPr>
        <w:t>S</w:t>
      </w:r>
      <w:r>
        <w:t>）</w:t>
      </w:r>
      <w:r>
        <w:rPr>
          <w:rFonts w:hint="eastAsia"/>
        </w:rPr>
        <w:t>、</w:t>
      </w:r>
      <w:r>
        <w:t>全氟碳化物（</w:t>
      </w:r>
      <w:r>
        <w:rPr>
          <w:rFonts w:hint="eastAsia"/>
        </w:rPr>
        <w:t>PFC</w:t>
      </w:r>
      <w:r>
        <w:rPr>
          <w:rFonts w:hint="eastAsia"/>
          <w:vertAlign w:val="subscript"/>
        </w:rPr>
        <w:t>S</w:t>
      </w:r>
      <w:r>
        <w:t>）</w:t>
      </w:r>
      <w:r>
        <w:rPr>
          <w:rFonts w:hint="eastAsia"/>
        </w:rPr>
        <w:t>、</w:t>
      </w:r>
      <w:r>
        <w:t>六氟化硫（</w:t>
      </w:r>
      <w:r>
        <w:rPr>
          <w:rFonts w:hint="eastAsia"/>
        </w:rPr>
        <w:t>SF</w:t>
      </w:r>
      <w:r>
        <w:rPr>
          <w:rFonts w:hint="eastAsia"/>
          <w:vertAlign w:val="subscript"/>
        </w:rPr>
        <w:t>6</w:t>
      </w:r>
      <w:r>
        <w:t>）</w:t>
      </w:r>
      <w:r>
        <w:rPr>
          <w:rFonts w:hint="eastAsia"/>
        </w:rPr>
        <w:t>和</w:t>
      </w:r>
      <w:r>
        <w:t>三氟化氮</w:t>
      </w:r>
      <w:r>
        <w:rPr>
          <w:rFonts w:hint="eastAsia"/>
        </w:rPr>
        <w:t>（NF</w:t>
      </w:r>
      <w:r>
        <w:rPr>
          <w:rFonts w:hint="eastAsia"/>
          <w:vertAlign w:val="subscript"/>
        </w:rPr>
        <w:t>3</w:t>
      </w:r>
      <w:r>
        <w:rPr>
          <w:rFonts w:hint="eastAsia"/>
        </w:rPr>
        <w:t>）。</w:t>
      </w:r>
    </w:p>
    <w:p>
      <w:pPr>
        <w:pStyle w:val="58"/>
        <w:ind w:firstLine="420"/>
      </w:pPr>
      <w:r>
        <w:rPr>
          <w:rFonts w:hint="eastAsia"/>
        </w:rPr>
        <w:t>[来源：GB/T 24067-2024，3.</w:t>
      </w:r>
      <w:r>
        <w:t>2.1</w:t>
      </w:r>
      <w:r>
        <w:rPr>
          <w:rFonts w:hint="eastAsia"/>
        </w:rPr>
        <w:t>]</w:t>
      </w:r>
    </w:p>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全球</w:t>
      </w:r>
      <w:r>
        <w:rPr>
          <w:rFonts w:ascii="黑体" w:hAnsi="黑体" w:eastAsia="黑体"/>
        </w:rPr>
        <w:t>变暖潜势</w:t>
      </w:r>
      <w:r>
        <w:rPr>
          <w:rFonts w:hint="eastAsia" w:ascii="黑体" w:hAnsi="黑体" w:eastAsia="黑体"/>
        </w:rPr>
        <w:t xml:space="preserve"> </w:t>
      </w:r>
      <w:r>
        <w:rPr>
          <w:rFonts w:ascii="黑体" w:hAnsi="黑体" w:eastAsia="黑体"/>
        </w:rPr>
        <w:t>global warming potential</w:t>
      </w:r>
      <w:r>
        <w:rPr>
          <w:rFonts w:hint="eastAsia" w:ascii="黑体" w:hAnsi="黑体" w:eastAsia="黑体"/>
        </w:rPr>
        <w:t>；GWP</w:t>
      </w:r>
    </w:p>
    <w:p>
      <w:pPr>
        <w:pStyle w:val="58"/>
        <w:ind w:firstLine="420"/>
      </w:pPr>
      <w:r>
        <w:rPr>
          <w:rFonts w:hint="eastAsia"/>
        </w:rPr>
        <w:t>用于</w:t>
      </w:r>
      <w:r>
        <w:t>衡量</w:t>
      </w:r>
      <w:r>
        <w:rPr>
          <w:rFonts w:hint="eastAsia"/>
        </w:rPr>
        <w:t>在</w:t>
      </w:r>
      <w:r>
        <w:t>选定</w:t>
      </w:r>
      <w:r>
        <w:rPr>
          <w:rFonts w:hint="eastAsia"/>
        </w:rPr>
        <w:t>时间</w:t>
      </w:r>
      <w:r>
        <w:t>点</w:t>
      </w:r>
      <w:r>
        <w:rPr>
          <w:rFonts w:hint="eastAsia"/>
        </w:rPr>
        <w:t>，</w:t>
      </w:r>
      <w:r>
        <w:t>全球</w:t>
      </w:r>
      <w:r>
        <w:rPr>
          <w:rFonts w:hint="eastAsia"/>
        </w:rPr>
        <w:t>平均地表</w:t>
      </w:r>
      <w:r>
        <w:t>温度</w:t>
      </w:r>
      <w:r>
        <w:rPr>
          <w:rFonts w:hint="eastAsia"/>
        </w:rPr>
        <w:t>在</w:t>
      </w:r>
      <w:r>
        <w:t>某温室气体</w:t>
      </w:r>
      <w:r>
        <w:rPr>
          <w:rFonts w:hint="eastAsia"/>
        </w:rPr>
        <w:t>脉冲排放</w:t>
      </w:r>
      <w:r>
        <w:t>下</w:t>
      </w:r>
      <w:r>
        <w:rPr>
          <w:rFonts w:hint="eastAsia"/>
        </w:rPr>
        <w:t>的</w:t>
      </w:r>
      <w:r>
        <w:t>变化</w:t>
      </w:r>
      <w:r>
        <w:rPr>
          <w:rFonts w:hint="eastAsia"/>
        </w:rPr>
        <w:t>，</w:t>
      </w:r>
      <w:r>
        <w:t>是</w:t>
      </w:r>
      <w:r>
        <w:rPr>
          <w:rFonts w:hint="eastAsia"/>
        </w:rPr>
        <w:t>相对于二氧化碳引起温度变化</w:t>
      </w:r>
      <w:r>
        <w:t>的</w:t>
      </w:r>
      <w:r>
        <w:rPr>
          <w:rFonts w:hint="eastAsia"/>
        </w:rPr>
        <w:t>系数</w:t>
      </w:r>
      <w:r>
        <w:t>。</w:t>
      </w:r>
    </w:p>
    <w:p>
      <w:pPr>
        <w:pStyle w:val="182"/>
        <w:numPr>
          <w:ilvl w:val="0"/>
          <w:numId w:val="34"/>
        </w:numPr>
      </w:pPr>
      <w:r>
        <w:rPr>
          <w:rFonts w:hint="eastAsia"/>
        </w:rPr>
        <w:t>本文件</w:t>
      </w:r>
      <w:r>
        <w:t>使用</w:t>
      </w:r>
      <w:r>
        <w:rPr>
          <w:rFonts w:hint="eastAsia"/>
        </w:rPr>
        <w:t xml:space="preserve">的“系数”即GB/T </w:t>
      </w:r>
      <w:r>
        <w:t>24040-2008</w:t>
      </w:r>
      <w:r>
        <w:rPr>
          <w:rFonts w:hint="eastAsia"/>
        </w:rPr>
        <w:t>的</w:t>
      </w:r>
      <w:r>
        <w:t>，</w:t>
      </w:r>
      <w:r>
        <w:rPr>
          <w:rFonts w:hint="eastAsia"/>
        </w:rPr>
        <w:t>3.37中</w:t>
      </w:r>
      <w:r>
        <w:t>定义</w:t>
      </w:r>
      <w:r>
        <w:rPr>
          <w:rFonts w:hint="eastAsia"/>
        </w:rPr>
        <w:t>的“特征化</w:t>
      </w:r>
      <w:r>
        <w:t>因子</w:t>
      </w:r>
      <w:r>
        <w:rPr>
          <w:rFonts w:hint="eastAsia"/>
        </w:rPr>
        <w:t>”。</w:t>
      </w:r>
    </w:p>
    <w:p>
      <w:pPr>
        <w:pStyle w:val="182"/>
        <w:numPr>
          <w:ilvl w:val="0"/>
          <w:numId w:val="34"/>
        </w:numPr>
      </w:pPr>
      <w:r>
        <w:rPr>
          <w:rFonts w:hint="eastAsia"/>
        </w:rPr>
        <w:t>全球</w:t>
      </w:r>
      <w:r>
        <w:t>温度</w:t>
      </w:r>
      <w:r>
        <w:rPr>
          <w:rFonts w:hint="eastAsia"/>
        </w:rPr>
        <w:t>变化潜势是</w:t>
      </w:r>
      <w:r>
        <w:t>基于</w:t>
      </w:r>
      <w:r>
        <w:rPr>
          <w:rFonts w:hint="eastAsia"/>
        </w:rPr>
        <w:t>选定年份内</w:t>
      </w:r>
      <w:r>
        <w:t>温度</w:t>
      </w:r>
      <w:r>
        <w:rPr>
          <w:rFonts w:hint="eastAsia"/>
        </w:rPr>
        <w:t>变化得</w:t>
      </w:r>
      <w:r>
        <w:t>出的。</w:t>
      </w:r>
    </w:p>
    <w:p>
      <w:pPr>
        <w:pStyle w:val="182"/>
        <w:numPr>
          <w:ilvl w:val="0"/>
          <w:numId w:val="34"/>
        </w:numPr>
      </w:pPr>
      <w:r>
        <w:rPr>
          <w:rFonts w:hint="eastAsia"/>
        </w:rPr>
        <w:t>源自第</w:t>
      </w:r>
      <w:r>
        <w:t>1</w:t>
      </w:r>
      <w:r>
        <w:rPr>
          <w:rFonts w:hint="eastAsia"/>
        </w:rPr>
        <w:t>工作</w:t>
      </w:r>
      <w:r>
        <w:t>组</w:t>
      </w:r>
      <w:r>
        <w:rPr>
          <w:rFonts w:hint="eastAsia"/>
        </w:rPr>
        <w:t>政府</w:t>
      </w:r>
      <w:r>
        <w:t>间</w:t>
      </w:r>
      <w:r>
        <w:rPr>
          <w:rFonts w:hint="eastAsia"/>
        </w:rPr>
        <w:t>气候</w:t>
      </w:r>
      <w:r>
        <w:t>变化</w:t>
      </w:r>
      <w:r>
        <w:rPr>
          <w:rFonts w:hint="eastAsia"/>
        </w:rPr>
        <w:t>专门委员会（IPCC）第五次评价</w:t>
      </w:r>
      <w:r>
        <w:t>报告</w:t>
      </w:r>
      <w:r>
        <w:rPr>
          <w:rFonts w:hint="eastAsia"/>
        </w:rPr>
        <w:t>（AR5），2013年</w:t>
      </w:r>
      <w:r>
        <w:t>气候</w:t>
      </w:r>
      <w:r>
        <w:rPr>
          <w:rFonts w:hint="eastAsia"/>
        </w:rPr>
        <w:t>变化：物理</w:t>
      </w:r>
      <w:r>
        <w:t>科学基础</w:t>
      </w:r>
      <w:r>
        <w:rPr>
          <w:rFonts w:hint="eastAsia"/>
        </w:rPr>
        <w:t>。</w:t>
      </w:r>
    </w:p>
    <w:p>
      <w:pPr>
        <w:pStyle w:val="182"/>
        <w:numPr>
          <w:ilvl w:val="0"/>
          <w:numId w:val="0"/>
        </w:numPr>
        <w:ind w:left="363"/>
        <w:rPr>
          <w:sz w:val="21"/>
          <w:szCs w:val="21"/>
        </w:rPr>
      </w:pPr>
      <w:r>
        <w:rPr>
          <w:rFonts w:hint="eastAsia"/>
          <w:sz w:val="21"/>
          <w:szCs w:val="21"/>
        </w:rPr>
        <w:t>[来源：GB/T 24067-2024，3.2.</w:t>
      </w:r>
      <w:r>
        <w:rPr>
          <w:sz w:val="21"/>
          <w:szCs w:val="21"/>
        </w:rPr>
        <w:t>3</w:t>
      </w:r>
      <w:r>
        <w:rPr>
          <w:rFonts w:hint="eastAsia"/>
          <w:sz w:val="21"/>
          <w:szCs w:val="21"/>
        </w:rPr>
        <w:t>]</w:t>
      </w:r>
    </w:p>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生命</w:t>
      </w:r>
      <w:r>
        <w:rPr>
          <w:rFonts w:ascii="黑体" w:hAnsi="黑体" w:eastAsia="黑体"/>
        </w:rPr>
        <w:t>周期</w:t>
      </w:r>
      <w:r>
        <w:rPr>
          <w:rFonts w:hint="eastAsia" w:ascii="黑体" w:hAnsi="黑体" w:eastAsia="黑体"/>
        </w:rPr>
        <w:t xml:space="preserve"> </w:t>
      </w:r>
      <w:r>
        <w:rPr>
          <w:rFonts w:ascii="黑体" w:hAnsi="黑体" w:eastAsia="黑体"/>
        </w:rPr>
        <w:t>life cycle</w:t>
      </w:r>
    </w:p>
    <w:p>
      <w:pPr>
        <w:pStyle w:val="58"/>
        <w:ind w:firstLine="420"/>
      </w:pPr>
      <w:r>
        <w:rPr>
          <w:rFonts w:hint="eastAsia"/>
        </w:rPr>
        <w:t>产品相关的</w:t>
      </w:r>
      <w:r>
        <w:t>连续且相互</w:t>
      </w:r>
      <w:r>
        <w:rPr>
          <w:rFonts w:hint="eastAsia"/>
        </w:rPr>
        <w:t>连接</w:t>
      </w:r>
      <w:r>
        <w:t>的</w:t>
      </w:r>
      <w:r>
        <w:rPr>
          <w:rFonts w:hint="eastAsia"/>
        </w:rPr>
        <w:t>阶段，</w:t>
      </w:r>
      <w:r>
        <w:t>包括原材料获取</w:t>
      </w:r>
      <w:r>
        <w:rPr>
          <w:rFonts w:hint="eastAsia"/>
        </w:rPr>
        <w:t>或</w:t>
      </w:r>
      <w:r>
        <w:t>从自</w:t>
      </w:r>
      <w:r>
        <w:rPr>
          <w:rFonts w:hint="eastAsia"/>
        </w:rPr>
        <w:t>然</w:t>
      </w:r>
      <w:r>
        <w:t>资源中</w:t>
      </w:r>
      <w:r>
        <w:rPr>
          <w:rFonts w:hint="eastAsia"/>
        </w:rPr>
        <w:t>生成原材料至</w:t>
      </w:r>
      <w:r>
        <w:t>生命末期</w:t>
      </w:r>
      <w:r>
        <w:rPr>
          <w:rFonts w:hint="eastAsia"/>
        </w:rPr>
        <w:t>处理</w:t>
      </w:r>
      <w:r>
        <w:t>。</w:t>
      </w:r>
    </w:p>
    <w:p>
      <w:pPr>
        <w:pStyle w:val="182"/>
        <w:numPr>
          <w:ilvl w:val="0"/>
          <w:numId w:val="35"/>
        </w:numPr>
      </w:pPr>
      <w:r>
        <w:rPr>
          <w:rFonts w:hint="eastAsia"/>
        </w:rPr>
        <w:t>“原材料”的</w:t>
      </w:r>
      <w:r>
        <w:t>定义</w:t>
      </w:r>
      <w:r>
        <w:rPr>
          <w:rFonts w:hint="eastAsia"/>
        </w:rPr>
        <w:t xml:space="preserve">见GB/T </w:t>
      </w:r>
      <w:r>
        <w:t>24040-2008,3.15</w:t>
      </w:r>
      <w:r>
        <w:rPr>
          <w:rFonts w:hint="eastAsia"/>
        </w:rPr>
        <w:t>。</w:t>
      </w:r>
    </w:p>
    <w:p>
      <w:pPr>
        <w:pStyle w:val="182"/>
        <w:numPr>
          <w:ilvl w:val="0"/>
          <w:numId w:val="35"/>
        </w:numPr>
      </w:pPr>
      <w:r>
        <w:rPr>
          <w:rFonts w:hint="eastAsia"/>
        </w:rPr>
        <w:t>与</w:t>
      </w:r>
      <w:r>
        <w:t>产品相关的生命周期</w:t>
      </w:r>
      <w:r>
        <w:rPr>
          <w:rFonts w:hint="eastAsia"/>
        </w:rPr>
        <w:t>阶段</w:t>
      </w:r>
      <w:r>
        <w:t>包括</w:t>
      </w:r>
      <w:r>
        <w:rPr>
          <w:rFonts w:hint="eastAsia"/>
        </w:rPr>
        <w:t>原材料</w:t>
      </w:r>
      <w:r>
        <w:t>获取、</w:t>
      </w:r>
      <w:r>
        <w:rPr>
          <w:rFonts w:hint="eastAsia"/>
        </w:rPr>
        <w:t>生产</w:t>
      </w:r>
      <w:r>
        <w:t>、销售、</w:t>
      </w:r>
      <w:r>
        <w:rPr>
          <w:rFonts w:hint="eastAsia"/>
        </w:rPr>
        <w:t>使用</w:t>
      </w:r>
      <w:r>
        <w:t>和生命末期处理</w:t>
      </w:r>
      <w:r>
        <w:rPr>
          <w:rFonts w:hint="eastAsia"/>
        </w:rPr>
        <w:t>。</w:t>
      </w:r>
    </w:p>
    <w:p>
      <w:pPr>
        <w:pStyle w:val="182"/>
        <w:numPr>
          <w:ilvl w:val="0"/>
          <w:numId w:val="0"/>
        </w:numPr>
        <w:ind w:left="363"/>
      </w:pPr>
      <w:r>
        <w:rPr>
          <w:rFonts w:hint="eastAsia"/>
        </w:rPr>
        <w:t>[来源：GB/T 24067-2024，3</w:t>
      </w:r>
      <w:r>
        <w:t>.4.2</w:t>
      </w:r>
      <w:r>
        <w:rPr>
          <w:rFonts w:hint="eastAsia"/>
        </w:rPr>
        <w:t>]</w:t>
      </w:r>
    </w:p>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生命</w:t>
      </w:r>
      <w:r>
        <w:rPr>
          <w:rFonts w:ascii="黑体" w:hAnsi="黑体" w:eastAsia="黑体"/>
        </w:rPr>
        <w:t>周期评价</w:t>
      </w:r>
      <w:r>
        <w:rPr>
          <w:rFonts w:hint="eastAsia" w:ascii="黑体" w:hAnsi="黑体" w:eastAsia="黑体"/>
        </w:rPr>
        <w:t xml:space="preserve"> </w:t>
      </w:r>
      <w:r>
        <w:rPr>
          <w:rFonts w:ascii="黑体" w:hAnsi="黑体" w:eastAsia="黑体"/>
        </w:rPr>
        <w:t>life cycle assessment</w:t>
      </w:r>
      <w:r>
        <w:rPr>
          <w:rFonts w:hint="eastAsia" w:ascii="黑体" w:hAnsi="黑体" w:eastAsia="黑体"/>
        </w:rPr>
        <w:t>；LCA</w:t>
      </w:r>
    </w:p>
    <w:p>
      <w:pPr>
        <w:pStyle w:val="58"/>
        <w:ind w:firstLine="420"/>
      </w:pPr>
      <w:r>
        <w:rPr>
          <w:rFonts w:hint="eastAsia"/>
        </w:rPr>
        <w:t>一个</w:t>
      </w:r>
      <w:r>
        <w:t>产品系统在其整个生命周期内的输入、输出和潜在环境影响的汇编和评估。</w:t>
      </w:r>
    </w:p>
    <w:p>
      <w:pPr>
        <w:pStyle w:val="181"/>
      </w:pPr>
      <w:r>
        <w:rPr>
          <w:rFonts w:hint="eastAsia"/>
        </w:rPr>
        <w:t>“环境</w:t>
      </w:r>
      <w:r>
        <w:t>影响</w:t>
      </w:r>
      <w:r>
        <w:rPr>
          <w:rFonts w:hint="eastAsia"/>
        </w:rPr>
        <w:t>”的</w:t>
      </w:r>
      <w:r>
        <w:t>定义请见</w:t>
      </w:r>
      <w:r>
        <w:rPr>
          <w:rFonts w:hint="eastAsia"/>
        </w:rPr>
        <w:t>GB/T 24001-2016，3.2.4。</w:t>
      </w:r>
    </w:p>
    <w:p>
      <w:pPr>
        <w:pStyle w:val="58"/>
        <w:ind w:firstLine="420"/>
      </w:pPr>
      <w:r>
        <w:rPr>
          <w:rFonts w:hint="eastAsia"/>
        </w:rPr>
        <w:t>[来源：GB/T 24067-2024，3</w:t>
      </w:r>
      <w:r>
        <w:t>.4.3</w:t>
      </w:r>
      <w:r>
        <w:rPr>
          <w:rFonts w:hint="eastAsia"/>
        </w:rPr>
        <w:t>]</w:t>
      </w:r>
    </w:p>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系统边界 </w:t>
      </w:r>
      <w:r>
        <w:rPr>
          <w:rFonts w:ascii="黑体" w:hAnsi="黑体" w:eastAsia="黑体"/>
        </w:rPr>
        <w:t>system boundary</w:t>
      </w:r>
    </w:p>
    <w:p>
      <w:pPr>
        <w:pStyle w:val="58"/>
        <w:ind w:firstLine="420"/>
      </w:pPr>
      <w:r>
        <w:rPr>
          <w:rFonts w:hint="eastAsia"/>
        </w:rPr>
        <w:t>通过一组</w:t>
      </w:r>
      <w:r>
        <w:t>准则</w:t>
      </w:r>
      <w:r>
        <w:rPr>
          <w:rFonts w:hint="eastAsia"/>
        </w:rPr>
        <w:t>确定哪些单元过程属于产品</w:t>
      </w:r>
      <w:r>
        <w:t>系统</w:t>
      </w:r>
      <w:r>
        <w:rPr>
          <w:rFonts w:hint="eastAsia"/>
        </w:rPr>
        <w:t>的</w:t>
      </w:r>
      <w:r>
        <w:t>一部分。</w:t>
      </w:r>
    </w:p>
    <w:p>
      <w:pPr>
        <w:pStyle w:val="58"/>
        <w:ind w:firstLine="420"/>
      </w:pPr>
      <w:r>
        <w:t>[</w:t>
      </w:r>
      <w:r>
        <w:rPr>
          <w:rFonts w:hint="eastAsia"/>
        </w:rPr>
        <w:t>来源：GB/T 240</w:t>
      </w:r>
      <w:r>
        <w:t>67</w:t>
      </w:r>
      <w:r>
        <w:rPr>
          <w:rFonts w:hint="eastAsia"/>
        </w:rPr>
        <w:t>-20</w:t>
      </w:r>
      <w:r>
        <w:t>24</w:t>
      </w:r>
      <w:r>
        <w:rPr>
          <w:rFonts w:hint="eastAsia"/>
        </w:rPr>
        <w:t>，3.</w:t>
      </w:r>
      <w:r>
        <w:t>3.4]</w:t>
      </w:r>
    </w:p>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声明</w:t>
      </w:r>
      <w:r>
        <w:rPr>
          <w:rFonts w:ascii="黑体" w:hAnsi="黑体" w:eastAsia="黑体"/>
        </w:rPr>
        <w:t>单位</w:t>
      </w:r>
      <w:r>
        <w:rPr>
          <w:rFonts w:hint="eastAsia" w:ascii="黑体" w:hAnsi="黑体" w:eastAsia="黑体"/>
        </w:rPr>
        <w:t xml:space="preserve"> </w:t>
      </w:r>
      <w:r>
        <w:rPr>
          <w:rFonts w:ascii="黑体" w:hAnsi="黑体" w:eastAsia="黑体"/>
        </w:rPr>
        <w:t>declared unit</w:t>
      </w:r>
    </w:p>
    <w:p>
      <w:pPr>
        <w:pStyle w:val="58"/>
        <w:ind w:firstLine="420"/>
      </w:pPr>
      <w:r>
        <w:rPr>
          <w:rFonts w:hint="eastAsia"/>
        </w:rPr>
        <w:t>用来</w:t>
      </w:r>
      <w:r>
        <w:t>量化产品部分碳足迹</w:t>
      </w:r>
      <w:r>
        <w:rPr>
          <w:rFonts w:hint="eastAsia"/>
        </w:rPr>
        <w:t>的</w:t>
      </w:r>
      <w:r>
        <w:t>基准单位。</w:t>
      </w:r>
    </w:p>
    <w:p>
      <w:pPr>
        <w:pStyle w:val="183"/>
      </w:pPr>
      <w:r>
        <w:rPr>
          <w:rFonts w:hint="eastAsia"/>
        </w:rPr>
        <w:t>质量</w:t>
      </w:r>
      <w:r>
        <w:t>（</w:t>
      </w:r>
      <w:r>
        <w:rPr>
          <w:rFonts w:hint="eastAsia"/>
        </w:rPr>
        <w:t>1</w:t>
      </w:r>
      <w:r>
        <w:t>kg</w:t>
      </w:r>
      <w:r>
        <w:rPr>
          <w:rFonts w:hint="eastAsia"/>
        </w:rPr>
        <w:t>粗钢</w:t>
      </w:r>
      <w:r>
        <w:t>）</w:t>
      </w:r>
      <w:r>
        <w:rPr>
          <w:rFonts w:hint="eastAsia"/>
        </w:rPr>
        <w:t>、</w:t>
      </w:r>
      <w:r>
        <w:t>体积（</w:t>
      </w:r>
      <w:r>
        <w:rPr>
          <w:rFonts w:hint="eastAsia"/>
        </w:rPr>
        <w:t>1L原油</w:t>
      </w:r>
      <w:r>
        <w:t>）</w:t>
      </w:r>
      <w:r>
        <w:rPr>
          <w:rFonts w:hint="eastAsia"/>
        </w:rPr>
        <w:t>。</w:t>
      </w:r>
    </w:p>
    <w:p>
      <w:pPr>
        <w:pStyle w:val="184"/>
        <w:rPr>
          <w:sz w:val="21"/>
          <w:szCs w:val="21"/>
        </w:rPr>
      </w:pPr>
      <w:r>
        <w:rPr>
          <w:sz w:val="21"/>
          <w:szCs w:val="21"/>
        </w:rPr>
        <w:t>[</w:t>
      </w:r>
      <w:r>
        <w:rPr>
          <w:rFonts w:hint="eastAsia"/>
          <w:sz w:val="21"/>
          <w:szCs w:val="21"/>
        </w:rPr>
        <w:t>来源：GB/T 240</w:t>
      </w:r>
      <w:r>
        <w:rPr>
          <w:sz w:val="21"/>
          <w:szCs w:val="21"/>
        </w:rPr>
        <w:t>67</w:t>
      </w:r>
      <w:r>
        <w:rPr>
          <w:rFonts w:hint="eastAsia"/>
          <w:sz w:val="21"/>
          <w:szCs w:val="21"/>
        </w:rPr>
        <w:t>-20</w:t>
      </w:r>
      <w:r>
        <w:rPr>
          <w:sz w:val="21"/>
          <w:szCs w:val="21"/>
        </w:rPr>
        <w:t>24</w:t>
      </w:r>
      <w:r>
        <w:rPr>
          <w:rFonts w:hint="eastAsia"/>
          <w:sz w:val="21"/>
          <w:szCs w:val="21"/>
        </w:rPr>
        <w:t>，3.</w:t>
      </w:r>
      <w:r>
        <w:rPr>
          <w:sz w:val="21"/>
          <w:szCs w:val="21"/>
        </w:rPr>
        <w:t>3.8]</w:t>
      </w:r>
    </w:p>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温室</w:t>
      </w:r>
      <w:r>
        <w:rPr>
          <w:rFonts w:ascii="黑体" w:hAnsi="黑体" w:eastAsia="黑体"/>
        </w:rPr>
        <w:t>气体</w:t>
      </w:r>
      <w:r>
        <w:rPr>
          <w:rFonts w:hint="eastAsia" w:ascii="黑体" w:hAnsi="黑体" w:eastAsia="黑体"/>
        </w:rPr>
        <w:t xml:space="preserve">排放因子 </w:t>
      </w:r>
      <w:r>
        <w:rPr>
          <w:rFonts w:ascii="黑体" w:hAnsi="黑体" w:eastAsia="黑体"/>
        </w:rPr>
        <w:t>greenhouse gas emission factor</w:t>
      </w:r>
      <w:r>
        <w:rPr>
          <w:rFonts w:hint="eastAsia" w:ascii="黑体" w:hAnsi="黑体" w:eastAsia="黑体"/>
        </w:rPr>
        <w:t>；GHG</w:t>
      </w:r>
      <w:r>
        <w:rPr>
          <w:rFonts w:ascii="黑体" w:hAnsi="黑体" w:eastAsia="黑体"/>
        </w:rPr>
        <w:t xml:space="preserve"> emission factor</w:t>
      </w:r>
    </w:p>
    <w:p>
      <w:pPr>
        <w:pStyle w:val="58"/>
        <w:ind w:firstLine="420"/>
      </w:pPr>
      <w:r>
        <w:rPr>
          <w:rFonts w:hint="eastAsia"/>
        </w:rPr>
        <w:t>活动数据</w:t>
      </w:r>
      <w:r>
        <w:t>与温室气体排放</w:t>
      </w:r>
      <w:r>
        <w:rPr>
          <w:rFonts w:hint="eastAsia"/>
        </w:rPr>
        <w:t>相关</w:t>
      </w:r>
      <w:r>
        <w:t>的系数</w:t>
      </w:r>
      <w:r>
        <w:rPr>
          <w:rFonts w:hint="eastAsia"/>
        </w:rPr>
        <w:t>。</w:t>
      </w:r>
    </w:p>
    <w:p>
      <w:pPr>
        <w:pStyle w:val="58"/>
        <w:ind w:firstLine="420"/>
      </w:pPr>
      <w:r>
        <w:t>[</w:t>
      </w:r>
      <w:r>
        <w:rPr>
          <w:rFonts w:hint="eastAsia"/>
        </w:rPr>
        <w:t>来源：</w:t>
      </w:r>
      <w:r>
        <w:t>GB/T</w:t>
      </w:r>
      <w:r>
        <w:rPr>
          <w:rFonts w:hint="eastAsia"/>
        </w:rPr>
        <w:t xml:space="preserve"> </w:t>
      </w:r>
      <w:r>
        <w:t>2</w:t>
      </w:r>
      <w:r>
        <w:rPr>
          <w:rFonts w:hint="eastAsia"/>
        </w:rPr>
        <w:t>4067-20</w:t>
      </w:r>
      <w:r>
        <w:t>24</w:t>
      </w:r>
      <w:r>
        <w:rPr>
          <w:rFonts w:hint="eastAsia"/>
        </w:rPr>
        <w:t>，3</w:t>
      </w:r>
      <w:r>
        <w:t>.2.7]</w:t>
      </w:r>
    </w:p>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数据</w:t>
      </w:r>
      <w:r>
        <w:rPr>
          <w:rFonts w:ascii="黑体" w:hAnsi="黑体" w:eastAsia="黑体"/>
        </w:rPr>
        <w:t>质量</w:t>
      </w:r>
      <w:r>
        <w:rPr>
          <w:rFonts w:hint="eastAsia" w:ascii="黑体" w:hAnsi="黑体" w:eastAsia="黑体"/>
        </w:rPr>
        <w:t xml:space="preserve"> </w:t>
      </w:r>
      <w:r>
        <w:rPr>
          <w:rFonts w:ascii="黑体" w:hAnsi="黑体" w:eastAsia="黑体"/>
        </w:rPr>
        <w:t>data quality</w:t>
      </w:r>
    </w:p>
    <w:p>
      <w:pPr>
        <w:pStyle w:val="58"/>
        <w:ind w:firstLine="420"/>
      </w:pPr>
      <w:r>
        <w:rPr>
          <w:rFonts w:hint="eastAsia"/>
        </w:rPr>
        <w:t>数据</w:t>
      </w:r>
      <w:r>
        <w:t>在</w:t>
      </w:r>
      <w:r>
        <w:rPr>
          <w:rFonts w:hint="eastAsia"/>
        </w:rPr>
        <w:t>满足</w:t>
      </w:r>
      <w:r>
        <w:t>所</w:t>
      </w:r>
      <w:r>
        <w:rPr>
          <w:rFonts w:hint="eastAsia"/>
        </w:rPr>
        <w:t>声明的</w:t>
      </w:r>
      <w:r>
        <w:t>要求方面</w:t>
      </w:r>
      <w:r>
        <w:rPr>
          <w:rFonts w:hint="eastAsia"/>
        </w:rPr>
        <w:t>的</w:t>
      </w:r>
      <w:r>
        <w:t>能力特性</w:t>
      </w:r>
      <w:r>
        <w:rPr>
          <w:rFonts w:hint="eastAsia"/>
        </w:rPr>
        <w:t>。</w:t>
      </w:r>
    </w:p>
    <w:p>
      <w:pPr>
        <w:pStyle w:val="58"/>
        <w:ind w:firstLine="420"/>
      </w:pPr>
      <w:r>
        <w:t>[</w:t>
      </w:r>
      <w:r>
        <w:rPr>
          <w:rFonts w:hint="eastAsia"/>
        </w:rPr>
        <w:t>来源：GB/T 240</w:t>
      </w:r>
      <w:r>
        <w:t>40</w:t>
      </w:r>
      <w:r>
        <w:rPr>
          <w:rFonts w:hint="eastAsia"/>
        </w:rPr>
        <w:t>-200</w:t>
      </w:r>
      <w:r>
        <w:t>8</w:t>
      </w:r>
      <w:r>
        <w:rPr>
          <w:rFonts w:hint="eastAsia"/>
        </w:rPr>
        <w:t>，3.</w:t>
      </w:r>
      <w:r>
        <w:t>19]</w:t>
      </w:r>
    </w:p>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初级</w:t>
      </w:r>
      <w:r>
        <w:rPr>
          <w:rFonts w:ascii="黑体" w:hAnsi="黑体" w:eastAsia="黑体"/>
        </w:rPr>
        <w:t>数据</w:t>
      </w:r>
      <w:r>
        <w:rPr>
          <w:rFonts w:hint="eastAsia" w:ascii="黑体" w:hAnsi="黑体" w:eastAsia="黑体"/>
        </w:rPr>
        <w:t xml:space="preserve"> </w:t>
      </w:r>
      <w:r>
        <w:rPr>
          <w:rFonts w:ascii="黑体" w:hAnsi="黑体" w:eastAsia="黑体"/>
        </w:rPr>
        <w:t>primary data</w:t>
      </w:r>
    </w:p>
    <w:p>
      <w:pPr>
        <w:pStyle w:val="58"/>
        <w:ind w:firstLine="420"/>
      </w:pPr>
      <w:r>
        <w:rPr>
          <w:rFonts w:hint="eastAsia"/>
        </w:rPr>
        <w:t>通过直接</w:t>
      </w:r>
      <w:r>
        <w:t>测量或基于直接测量</w:t>
      </w:r>
      <w:r>
        <w:rPr>
          <w:rFonts w:hint="eastAsia"/>
        </w:rPr>
        <w:t>的</w:t>
      </w:r>
      <w:r>
        <w:t>计算得到的</w:t>
      </w:r>
      <w:r>
        <w:rPr>
          <w:rFonts w:hint="eastAsia"/>
        </w:rPr>
        <w:t>过程</w:t>
      </w:r>
      <w:r>
        <w:t>或</w:t>
      </w:r>
      <w:r>
        <w:rPr>
          <w:rFonts w:hint="eastAsia"/>
        </w:rPr>
        <w:t>活动</w:t>
      </w:r>
      <w:r>
        <w:t>的量化值。</w:t>
      </w:r>
    </w:p>
    <w:p>
      <w:pPr>
        <w:pStyle w:val="182"/>
        <w:numPr>
          <w:ilvl w:val="0"/>
          <w:numId w:val="36"/>
        </w:numPr>
      </w:pPr>
      <w:r>
        <w:rPr>
          <w:rFonts w:hint="eastAsia"/>
        </w:rPr>
        <w:t>初级数据并非必须来自所研究的产品系统，因为初级数据可能涉及其他与所研究的产品系统具有可比性的产品系统。</w:t>
      </w:r>
    </w:p>
    <w:p>
      <w:pPr>
        <w:pStyle w:val="182"/>
        <w:numPr>
          <w:ilvl w:val="0"/>
          <w:numId w:val="36"/>
        </w:numPr>
      </w:pPr>
      <w:r>
        <w:rPr>
          <w:rFonts w:hint="eastAsia"/>
        </w:rPr>
        <w:t>初级</w:t>
      </w:r>
      <w:r>
        <w:t>数据可以包含温室气体</w:t>
      </w:r>
      <w:r>
        <w:rPr>
          <w:rFonts w:hint="eastAsia"/>
        </w:rPr>
        <w:t>排放</w:t>
      </w:r>
      <w:r>
        <w:t>因子</w:t>
      </w:r>
      <w:r>
        <w:rPr>
          <w:rFonts w:hint="eastAsia"/>
        </w:rPr>
        <w:t>和或</w:t>
      </w:r>
      <w:r>
        <w:t>温室气体</w:t>
      </w:r>
      <w:r>
        <w:rPr>
          <w:rFonts w:hint="eastAsia"/>
        </w:rPr>
        <w:t>活动</w:t>
      </w:r>
      <w:r>
        <w:t>数据。</w:t>
      </w:r>
    </w:p>
    <w:p>
      <w:pPr>
        <w:pStyle w:val="182"/>
        <w:numPr>
          <w:ilvl w:val="0"/>
          <w:numId w:val="0"/>
        </w:numPr>
        <w:ind w:left="363"/>
        <w:rPr>
          <w:sz w:val="21"/>
          <w:szCs w:val="21"/>
        </w:rPr>
      </w:pPr>
      <w:r>
        <w:rPr>
          <w:rFonts w:hint="eastAsia"/>
          <w:sz w:val="21"/>
          <w:szCs w:val="21"/>
        </w:rPr>
        <w:t>[来源：GB/T 24067-2024，3.6.1]</w:t>
      </w:r>
    </w:p>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次级</w:t>
      </w:r>
      <w:r>
        <w:rPr>
          <w:rFonts w:ascii="黑体" w:hAnsi="黑体" w:eastAsia="黑体"/>
        </w:rPr>
        <w:t>数据</w:t>
      </w:r>
      <w:r>
        <w:rPr>
          <w:rFonts w:hint="eastAsia" w:ascii="黑体" w:hAnsi="黑体" w:eastAsia="黑体"/>
        </w:rPr>
        <w:t xml:space="preserve"> </w:t>
      </w:r>
      <w:r>
        <w:rPr>
          <w:rFonts w:ascii="黑体" w:hAnsi="黑体" w:eastAsia="黑体"/>
        </w:rPr>
        <w:t>secondary data</w:t>
      </w:r>
    </w:p>
    <w:p>
      <w:pPr>
        <w:pStyle w:val="58"/>
        <w:ind w:firstLine="420"/>
      </w:pPr>
      <w:r>
        <w:rPr>
          <w:rFonts w:hint="eastAsia"/>
        </w:rPr>
        <w:t>不符合</w:t>
      </w:r>
      <w:r>
        <w:t>初级数据</w:t>
      </w:r>
      <w:r>
        <w:rPr>
          <w:rFonts w:hint="eastAsia"/>
        </w:rPr>
        <w:t>要求</w:t>
      </w:r>
      <w:r>
        <w:t>的数据</w:t>
      </w:r>
      <w:r>
        <w:rPr>
          <w:rFonts w:hint="eastAsia"/>
        </w:rPr>
        <w:t>。</w:t>
      </w:r>
    </w:p>
    <w:p>
      <w:pPr>
        <w:pStyle w:val="182"/>
        <w:numPr>
          <w:ilvl w:val="0"/>
          <w:numId w:val="37"/>
        </w:numPr>
      </w:pPr>
      <w:r>
        <w:rPr>
          <w:rFonts w:hint="eastAsia"/>
        </w:rPr>
        <w:t>次级</w:t>
      </w:r>
      <w:r>
        <w:t>数据</w:t>
      </w:r>
      <w:r>
        <w:rPr>
          <w:rFonts w:hint="eastAsia"/>
        </w:rPr>
        <w:t>是经</w:t>
      </w:r>
      <w:r>
        <w:t>权威机构</w:t>
      </w:r>
      <w:r>
        <w:rPr>
          <w:rFonts w:hint="eastAsia"/>
        </w:rPr>
        <w:t>验证</w:t>
      </w:r>
      <w:r>
        <w:t>且具有可信度的数据，可来源于数据库、公开文献、国家排放因子、计算估算数据或其他具有代表性的数据，推荐使用本土化数据库。</w:t>
      </w:r>
    </w:p>
    <w:p>
      <w:pPr>
        <w:pStyle w:val="182"/>
        <w:numPr>
          <w:ilvl w:val="0"/>
          <w:numId w:val="37"/>
        </w:numPr>
      </w:pPr>
      <w:r>
        <w:rPr>
          <w:rFonts w:hint="eastAsia"/>
        </w:rPr>
        <w:t>次级</w:t>
      </w:r>
      <w:r>
        <w:t>数据可包括从代替过程或估计获得的数据。</w:t>
      </w:r>
    </w:p>
    <w:p>
      <w:pPr>
        <w:pStyle w:val="182"/>
        <w:numPr>
          <w:ilvl w:val="0"/>
          <w:numId w:val="0"/>
        </w:numPr>
        <w:ind w:left="363"/>
        <w:rPr>
          <w:sz w:val="21"/>
          <w:szCs w:val="21"/>
        </w:rPr>
      </w:pPr>
      <w:r>
        <w:rPr>
          <w:sz w:val="21"/>
          <w:szCs w:val="21"/>
        </w:rPr>
        <w:t>[</w:t>
      </w:r>
      <w:r>
        <w:rPr>
          <w:rFonts w:hint="eastAsia"/>
          <w:sz w:val="21"/>
          <w:szCs w:val="21"/>
        </w:rPr>
        <w:t>来源：</w:t>
      </w:r>
      <w:r>
        <w:rPr>
          <w:sz w:val="21"/>
          <w:szCs w:val="21"/>
        </w:rPr>
        <w:t>GB/T</w:t>
      </w:r>
      <w:r>
        <w:rPr>
          <w:rFonts w:hint="eastAsia"/>
          <w:sz w:val="21"/>
          <w:szCs w:val="21"/>
        </w:rPr>
        <w:t xml:space="preserve"> </w:t>
      </w:r>
      <w:r>
        <w:rPr>
          <w:sz w:val="21"/>
          <w:szCs w:val="21"/>
        </w:rPr>
        <w:t>2</w:t>
      </w:r>
      <w:r>
        <w:rPr>
          <w:rFonts w:hint="eastAsia"/>
          <w:sz w:val="21"/>
          <w:szCs w:val="21"/>
        </w:rPr>
        <w:t>4067-20</w:t>
      </w:r>
      <w:r>
        <w:rPr>
          <w:sz w:val="21"/>
          <w:szCs w:val="21"/>
        </w:rPr>
        <w:t>24</w:t>
      </w:r>
      <w:r>
        <w:rPr>
          <w:rFonts w:hint="eastAsia"/>
          <w:sz w:val="21"/>
          <w:szCs w:val="21"/>
        </w:rPr>
        <w:t>，3</w:t>
      </w:r>
      <w:r>
        <w:rPr>
          <w:sz w:val="21"/>
          <w:szCs w:val="21"/>
        </w:rPr>
        <w:t>.6.3]</w:t>
      </w:r>
    </w:p>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取舍</w:t>
      </w:r>
      <w:r>
        <w:rPr>
          <w:rFonts w:ascii="黑体" w:hAnsi="黑体" w:eastAsia="黑体"/>
        </w:rPr>
        <w:t>准则</w:t>
      </w:r>
      <w:r>
        <w:rPr>
          <w:rFonts w:hint="eastAsia" w:ascii="黑体" w:hAnsi="黑体" w:eastAsia="黑体"/>
        </w:rPr>
        <w:t xml:space="preserve"> </w:t>
      </w:r>
      <w:r>
        <w:rPr>
          <w:rFonts w:ascii="黑体" w:hAnsi="黑体" w:eastAsia="黑体"/>
        </w:rPr>
        <w:t>cut-off criteria</w:t>
      </w:r>
    </w:p>
    <w:p>
      <w:pPr>
        <w:pStyle w:val="58"/>
        <w:ind w:firstLine="420"/>
      </w:pPr>
      <w:r>
        <w:rPr>
          <w:rFonts w:hint="eastAsia"/>
        </w:rPr>
        <w:t>对</w:t>
      </w:r>
      <w:r>
        <w:t>与单元过程</w:t>
      </w:r>
      <w:r>
        <w:rPr>
          <w:rFonts w:hint="eastAsia"/>
        </w:rPr>
        <w:t>或</w:t>
      </w:r>
      <w:r>
        <w:t>产品</w:t>
      </w:r>
      <w:r>
        <w:rPr>
          <w:rFonts w:hint="eastAsia"/>
        </w:rPr>
        <w:t>系统</w:t>
      </w:r>
      <w:r>
        <w:t>相关</w:t>
      </w:r>
      <w:r>
        <w:rPr>
          <w:rFonts w:hint="eastAsia"/>
        </w:rPr>
        <w:t>的</w:t>
      </w:r>
      <w:r>
        <w:t>物质</w:t>
      </w:r>
      <w:r>
        <w:rPr>
          <w:rFonts w:hint="eastAsia"/>
        </w:rPr>
        <w:t>和</w:t>
      </w:r>
      <w:r>
        <w:t>能量</w:t>
      </w:r>
      <w:r>
        <w:rPr>
          <w:rFonts w:hint="eastAsia"/>
        </w:rPr>
        <w:t>流</w:t>
      </w:r>
      <w:r>
        <w:t>的</w:t>
      </w:r>
      <w:r>
        <w:rPr>
          <w:rFonts w:hint="eastAsia"/>
        </w:rPr>
        <w:t>数量或</w:t>
      </w:r>
      <w:r>
        <w:t>环境</w:t>
      </w:r>
      <w:r>
        <w:rPr>
          <w:rFonts w:hint="eastAsia"/>
        </w:rPr>
        <w:t>影响重要性程度是否被</w:t>
      </w:r>
      <w:r>
        <w:t>排除</w:t>
      </w:r>
      <w:r>
        <w:rPr>
          <w:rFonts w:hint="eastAsia"/>
        </w:rPr>
        <w:t>在</w:t>
      </w:r>
      <w:r>
        <w:t>研究</w:t>
      </w:r>
      <w:r>
        <w:rPr>
          <w:rFonts w:hint="eastAsia"/>
        </w:rPr>
        <w:t>范围之外所</w:t>
      </w:r>
      <w:r>
        <w:t>做出</w:t>
      </w:r>
      <w:r>
        <w:rPr>
          <w:rFonts w:hint="eastAsia"/>
        </w:rPr>
        <w:t>的</w:t>
      </w:r>
      <w:r>
        <w:t>规定。</w:t>
      </w:r>
    </w:p>
    <w:p>
      <w:pPr>
        <w:pStyle w:val="181"/>
      </w:pPr>
      <w:r>
        <w:rPr>
          <w:rFonts w:hint="eastAsia"/>
        </w:rPr>
        <w:t>“能量</w:t>
      </w:r>
      <w:r>
        <w:t>流</w:t>
      </w:r>
      <w:r>
        <w:rPr>
          <w:rFonts w:hint="eastAsia"/>
        </w:rPr>
        <w:t>”的</w:t>
      </w:r>
      <w:r>
        <w:t>定义</w:t>
      </w:r>
      <w:r>
        <w:rPr>
          <w:rFonts w:hint="eastAsia"/>
        </w:rPr>
        <w:t>见GB/T</w:t>
      </w:r>
      <w:r>
        <w:t xml:space="preserve"> 24040-2008,3.13</w:t>
      </w:r>
      <w:r>
        <w:rPr>
          <w:rFonts w:hint="eastAsia"/>
        </w:rPr>
        <w:t>。</w:t>
      </w:r>
    </w:p>
    <w:p>
      <w:pPr>
        <w:pStyle w:val="58"/>
        <w:ind w:firstLine="420"/>
      </w:pPr>
      <w:r>
        <w:t>[</w:t>
      </w:r>
      <w:r>
        <w:rPr>
          <w:rFonts w:hint="eastAsia"/>
        </w:rPr>
        <w:t>来源：</w:t>
      </w:r>
      <w:r>
        <w:t>GB/T</w:t>
      </w:r>
      <w:r>
        <w:rPr>
          <w:rFonts w:hint="eastAsia"/>
        </w:rPr>
        <w:t xml:space="preserve"> </w:t>
      </w:r>
      <w:r>
        <w:t>2</w:t>
      </w:r>
      <w:r>
        <w:rPr>
          <w:rFonts w:hint="eastAsia"/>
        </w:rPr>
        <w:t>4067-20</w:t>
      </w:r>
      <w:r>
        <w:t>24</w:t>
      </w:r>
      <w:r>
        <w:rPr>
          <w:rFonts w:hint="eastAsia"/>
        </w:rPr>
        <w:t>，3</w:t>
      </w:r>
      <w:r>
        <w:t>.4.1]</w:t>
      </w:r>
    </w:p>
    <w:p>
      <w:pPr>
        <w:pStyle w:val="106"/>
        <w:spacing w:before="240" w:after="240"/>
      </w:pPr>
      <w:bookmarkStart w:id="46" w:name="_Toc187832931"/>
      <w:bookmarkStart w:id="47" w:name="_Toc184918259"/>
      <w:bookmarkStart w:id="48" w:name="_Toc179815568"/>
      <w:bookmarkStart w:id="49" w:name="_Toc201828346"/>
      <w:bookmarkStart w:id="50" w:name="_Toc183616717"/>
      <w:bookmarkStart w:id="51" w:name="_Toc184718776"/>
      <w:bookmarkStart w:id="52" w:name="_Toc183078496"/>
      <w:bookmarkStart w:id="53" w:name="_Toc184203376"/>
      <w:bookmarkStart w:id="54" w:name="_Toc182907055"/>
      <w:bookmarkStart w:id="55" w:name="_Toc184830896"/>
      <w:bookmarkStart w:id="56" w:name="_Toc185949913"/>
      <w:bookmarkStart w:id="57" w:name="_Toc185957770"/>
      <w:bookmarkStart w:id="58" w:name="_Toc184306743"/>
      <w:bookmarkStart w:id="59" w:name="_Toc182815559"/>
      <w:r>
        <w:rPr>
          <w:rFonts w:hint="eastAsia"/>
        </w:rPr>
        <w:t>量化</w:t>
      </w:r>
      <w:r>
        <w:t>目的</w:t>
      </w:r>
      <w:bookmarkEnd w:id="46"/>
      <w:bookmarkEnd w:id="47"/>
      <w:bookmarkEnd w:id="48"/>
      <w:bookmarkEnd w:id="49"/>
      <w:bookmarkEnd w:id="50"/>
      <w:bookmarkEnd w:id="51"/>
      <w:bookmarkEnd w:id="52"/>
      <w:bookmarkEnd w:id="53"/>
      <w:bookmarkEnd w:id="54"/>
      <w:bookmarkEnd w:id="55"/>
      <w:bookmarkEnd w:id="56"/>
      <w:bookmarkEnd w:id="57"/>
      <w:bookmarkEnd w:id="58"/>
      <w:bookmarkEnd w:id="59"/>
    </w:p>
    <w:p>
      <w:pPr>
        <w:pStyle w:val="58"/>
        <w:ind w:firstLine="420"/>
      </w:pPr>
      <w:r>
        <w:rPr>
          <w:rFonts w:hint="eastAsia"/>
        </w:rPr>
        <w:t>开展煤制</w:t>
      </w:r>
      <w:r>
        <w:t>乙二醇</w:t>
      </w:r>
      <w:r>
        <w:rPr>
          <w:rFonts w:hint="eastAsia"/>
        </w:rPr>
        <w:t>产品碳足迹量化的总体目的是结合取舍准则（见</w:t>
      </w:r>
      <w:r>
        <w:t>5.4</w:t>
      </w:r>
      <w:r>
        <w:rPr>
          <w:rFonts w:hint="eastAsia"/>
        </w:rPr>
        <w:t>），通过量化煤制</w:t>
      </w:r>
      <w:r>
        <w:t>乙二醇</w:t>
      </w:r>
      <w:r>
        <w:rPr>
          <w:rFonts w:hint="eastAsia"/>
        </w:rPr>
        <w:t>产品系统边界内所有显著的温室气体排放量和清除量，计算1吨煤制</w:t>
      </w:r>
      <w:r>
        <w:t>乙二醇</w:t>
      </w:r>
      <w:r>
        <w:rPr>
          <w:rFonts w:hint="eastAsia"/>
        </w:rPr>
        <w:t>产品对全球变暖的潜在贡献［以二氧化碳当量（C0</w:t>
      </w:r>
      <w:r>
        <w:rPr>
          <w:rFonts w:hint="eastAsia"/>
          <w:vertAlign w:val="subscript"/>
        </w:rPr>
        <w:t>2</w:t>
      </w:r>
      <w:r>
        <w:rPr>
          <w:rFonts w:hint="eastAsia"/>
        </w:rPr>
        <w:t>e）表示］。</w:t>
      </w:r>
    </w:p>
    <w:p>
      <w:pPr>
        <w:pStyle w:val="58"/>
        <w:ind w:firstLine="420"/>
      </w:pPr>
      <w:r>
        <w:rPr>
          <w:rFonts w:hint="eastAsia"/>
        </w:rPr>
        <w:t>开展煤制</w:t>
      </w:r>
      <w:r>
        <w:t>乙二醇</w:t>
      </w:r>
      <w:r>
        <w:rPr>
          <w:rFonts w:hint="eastAsia"/>
        </w:rPr>
        <w:t>产品碳足迹量化研究时，应明确说明以下问题：</w:t>
      </w:r>
    </w:p>
    <w:p>
      <w:pPr>
        <w:pStyle w:val="58"/>
        <w:ind w:firstLine="420"/>
      </w:pPr>
      <w:r>
        <w:rPr>
          <w:rFonts w:ascii="Times New Roman"/>
        </w:rPr>
        <w:t>——</w:t>
      </w:r>
      <w:r>
        <w:rPr>
          <w:rFonts w:hint="eastAsia"/>
        </w:rPr>
        <w:t>应用意图；</w:t>
      </w:r>
    </w:p>
    <w:p>
      <w:pPr>
        <w:pStyle w:val="58"/>
        <w:ind w:firstLine="420"/>
      </w:pPr>
      <w:r>
        <w:rPr>
          <w:rFonts w:ascii="Times New Roman"/>
        </w:rPr>
        <w:t>——</w:t>
      </w:r>
      <w:r>
        <w:rPr>
          <w:rFonts w:hint="eastAsia"/>
        </w:rPr>
        <w:t>开展产品碳足迹研究的理由；</w:t>
      </w:r>
    </w:p>
    <w:p>
      <w:pPr>
        <w:pStyle w:val="58"/>
        <w:ind w:firstLine="420"/>
      </w:pPr>
      <w:r>
        <w:rPr>
          <w:rFonts w:ascii="Times New Roman"/>
        </w:rPr>
        <w:t>——</w:t>
      </w:r>
      <w:r>
        <w:rPr>
          <w:rFonts w:hint="eastAsia"/>
        </w:rPr>
        <w:t>目标受众（即研究结果的接收者）；</w:t>
      </w:r>
    </w:p>
    <w:p>
      <w:pPr>
        <w:pStyle w:val="58"/>
        <w:ind w:firstLine="420"/>
      </w:pPr>
      <w:r>
        <w:rPr>
          <w:rFonts w:ascii="Times New Roman"/>
        </w:rPr>
        <w:t>——</w:t>
      </w:r>
      <w:r>
        <w:rPr>
          <w:rFonts w:hint="eastAsia"/>
        </w:rPr>
        <w:t>符合ISO</w:t>
      </w:r>
      <w:r>
        <w:t xml:space="preserve"> </w:t>
      </w:r>
      <w:r>
        <w:rPr>
          <w:rFonts w:hint="eastAsia"/>
        </w:rPr>
        <w:t>14026 要求，提供产品碳足迹交流信息（如有）。</w:t>
      </w:r>
    </w:p>
    <w:p>
      <w:pPr>
        <w:pStyle w:val="106"/>
        <w:spacing w:before="240" w:after="240"/>
      </w:pPr>
      <w:bookmarkStart w:id="60" w:name="_Toc185957771"/>
      <w:bookmarkStart w:id="61" w:name="_Toc183078497"/>
      <w:bookmarkStart w:id="62" w:name="_Toc182907056"/>
      <w:bookmarkStart w:id="63" w:name="_Toc184830897"/>
      <w:bookmarkStart w:id="64" w:name="_Toc184306744"/>
      <w:bookmarkStart w:id="65" w:name="_Toc201828347"/>
      <w:bookmarkStart w:id="66" w:name="_Toc184918260"/>
      <w:bookmarkStart w:id="67" w:name="_Toc184203377"/>
      <w:bookmarkStart w:id="68" w:name="_Toc187832932"/>
      <w:bookmarkStart w:id="69" w:name="_Toc183616718"/>
      <w:bookmarkStart w:id="70" w:name="_Toc185949914"/>
      <w:bookmarkStart w:id="71" w:name="_Toc182815560"/>
      <w:bookmarkStart w:id="72" w:name="_Toc179815569"/>
      <w:bookmarkStart w:id="73" w:name="_Toc184718777"/>
      <w:r>
        <w:rPr>
          <w:rFonts w:hint="eastAsia"/>
        </w:rPr>
        <w:t>量化范围</w:t>
      </w:r>
      <w:bookmarkEnd w:id="60"/>
      <w:bookmarkEnd w:id="61"/>
      <w:bookmarkEnd w:id="62"/>
      <w:bookmarkEnd w:id="63"/>
      <w:bookmarkEnd w:id="64"/>
      <w:bookmarkEnd w:id="65"/>
      <w:bookmarkEnd w:id="66"/>
      <w:bookmarkEnd w:id="67"/>
      <w:bookmarkEnd w:id="68"/>
      <w:bookmarkEnd w:id="69"/>
      <w:bookmarkEnd w:id="70"/>
      <w:bookmarkEnd w:id="71"/>
      <w:bookmarkEnd w:id="72"/>
      <w:bookmarkEnd w:id="73"/>
    </w:p>
    <w:p>
      <w:pPr>
        <w:pStyle w:val="107"/>
        <w:spacing w:before="120" w:after="120"/>
      </w:pPr>
      <w:r>
        <w:rPr>
          <w:rFonts w:hint="eastAsia"/>
        </w:rPr>
        <w:t>产品描述</w:t>
      </w:r>
    </w:p>
    <w:p>
      <w:pPr>
        <w:pStyle w:val="58"/>
        <w:ind w:firstLine="420"/>
      </w:pPr>
      <w:r>
        <w:rPr>
          <w:rFonts w:hint="eastAsia"/>
        </w:rPr>
        <w:t xml:space="preserve"> 产品</w:t>
      </w:r>
      <w:r>
        <w:t>描述应使用户</w:t>
      </w:r>
      <w:r>
        <w:rPr>
          <w:rFonts w:hint="eastAsia"/>
        </w:rPr>
        <w:t>能够清晰</w:t>
      </w:r>
      <w:r>
        <w:t>识别产品</w:t>
      </w:r>
      <w:r>
        <w:rPr>
          <w:rFonts w:hint="eastAsia"/>
        </w:rPr>
        <w:t>,并</w:t>
      </w:r>
      <w:r>
        <w:t>可参照GB/T 31428</w:t>
      </w:r>
      <w:r>
        <w:rPr>
          <w:rFonts w:hint="eastAsia"/>
        </w:rPr>
        <w:t>的</w:t>
      </w:r>
      <w:r>
        <w:t>要求进行描述，</w:t>
      </w:r>
      <w:r>
        <w:rPr>
          <w:rFonts w:hint="eastAsia"/>
        </w:rPr>
        <w:t>描述</w:t>
      </w:r>
      <w:r>
        <w:t>内容</w:t>
      </w:r>
      <w:r>
        <w:rPr>
          <w:rFonts w:hint="eastAsia"/>
        </w:rPr>
        <w:t>包括但</w:t>
      </w:r>
      <w:r>
        <w:t>不限于：</w:t>
      </w:r>
    </w:p>
    <w:p>
      <w:pPr>
        <w:pStyle w:val="176"/>
        <w:numPr>
          <w:ilvl w:val="0"/>
          <w:numId w:val="38"/>
        </w:numPr>
      </w:pPr>
      <w:r>
        <w:rPr>
          <w:rFonts w:hint="eastAsia"/>
        </w:rPr>
        <w:t>产品名称和</w:t>
      </w:r>
      <w:r>
        <w:t>牌号</w:t>
      </w:r>
      <w:r>
        <w:rPr>
          <w:rFonts w:hint="eastAsia"/>
        </w:rPr>
        <w:t>；</w:t>
      </w:r>
    </w:p>
    <w:p>
      <w:pPr>
        <w:pStyle w:val="176"/>
        <w:numPr>
          <w:ilvl w:val="0"/>
          <w:numId w:val="38"/>
        </w:numPr>
      </w:pPr>
      <w:r>
        <w:rPr>
          <w:rFonts w:hint="eastAsia"/>
        </w:rPr>
        <w:t>产品批号</w:t>
      </w:r>
      <w:r>
        <w:t>；</w:t>
      </w:r>
    </w:p>
    <w:p>
      <w:pPr>
        <w:pStyle w:val="176"/>
        <w:numPr>
          <w:ilvl w:val="0"/>
          <w:numId w:val="38"/>
        </w:numPr>
      </w:pPr>
      <w:r>
        <w:rPr>
          <w:rFonts w:hint="eastAsia"/>
        </w:rPr>
        <w:t>产品净重；</w:t>
      </w:r>
    </w:p>
    <w:p>
      <w:pPr>
        <w:pStyle w:val="176"/>
        <w:numPr>
          <w:ilvl w:val="0"/>
          <w:numId w:val="38"/>
        </w:numPr>
      </w:pPr>
      <w:r>
        <w:rPr>
          <w:rFonts w:hint="eastAsia"/>
        </w:rPr>
        <w:t>分析检验</w:t>
      </w:r>
      <w:r>
        <w:t>结果</w:t>
      </w:r>
      <w:r>
        <w:rPr>
          <w:rFonts w:hint="eastAsia"/>
        </w:rPr>
        <w:t>及</w:t>
      </w:r>
      <w:r>
        <w:t>检验</w:t>
      </w:r>
      <w:r>
        <w:rPr>
          <w:rFonts w:hint="eastAsia"/>
        </w:rPr>
        <w:t>部门</w:t>
      </w:r>
      <w:r>
        <w:t>印记；</w:t>
      </w:r>
    </w:p>
    <w:p>
      <w:pPr>
        <w:pStyle w:val="176"/>
        <w:numPr>
          <w:ilvl w:val="0"/>
          <w:numId w:val="38"/>
        </w:numPr>
      </w:pPr>
      <w:r>
        <w:rPr>
          <w:rFonts w:hint="eastAsia"/>
        </w:rPr>
        <w:t>出厂日期</w:t>
      </w:r>
      <w:r>
        <w:t>。</w:t>
      </w:r>
    </w:p>
    <w:p>
      <w:pPr>
        <w:pStyle w:val="107"/>
        <w:spacing w:before="120" w:after="120"/>
      </w:pPr>
      <w:r>
        <w:rPr>
          <w:rFonts w:hint="eastAsia"/>
        </w:rPr>
        <w:t>声明单位</w:t>
      </w:r>
    </w:p>
    <w:p>
      <w:pPr>
        <w:pStyle w:val="58"/>
        <w:ind w:firstLine="420"/>
      </w:pPr>
      <w:r>
        <w:rPr>
          <w:rFonts w:hint="eastAsia"/>
        </w:rPr>
        <w:t>本文件以“1吨煤制</w:t>
      </w:r>
      <w:r>
        <w:t>乙二醇</w:t>
      </w:r>
      <w:r>
        <w:rPr>
          <w:rFonts w:hint="eastAsia"/>
        </w:rPr>
        <w:t>”</w:t>
      </w:r>
      <w:r>
        <w:t>为声明单位，</w:t>
      </w:r>
      <w:r>
        <w:rPr>
          <w:rFonts w:hint="eastAsia"/>
        </w:rPr>
        <w:t>产品</w:t>
      </w:r>
      <w:r>
        <w:t>碳足迹报告</w:t>
      </w:r>
      <w:r>
        <w:rPr>
          <w:rFonts w:hint="eastAsia"/>
        </w:rPr>
        <w:t>（见</w:t>
      </w:r>
      <w:r>
        <w:t>附录A</w:t>
      </w:r>
      <w:r>
        <w:rPr>
          <w:rFonts w:hint="eastAsia"/>
        </w:rPr>
        <w:t>）中应</w:t>
      </w:r>
      <w:r>
        <w:t>以</w:t>
      </w:r>
      <w:r>
        <w:rPr>
          <w:rFonts w:hint="eastAsia"/>
        </w:rPr>
        <w:t>每</w:t>
      </w:r>
      <w:r>
        <w:t>声明单位</w:t>
      </w:r>
      <w:r>
        <w:rPr>
          <w:rFonts w:hint="eastAsia"/>
        </w:rPr>
        <w:t>的</w:t>
      </w:r>
      <w:r>
        <w:t>温室气体</w:t>
      </w:r>
      <w:r>
        <w:rPr>
          <w:rFonts w:hint="eastAsia"/>
        </w:rPr>
        <w:t>排放</w:t>
      </w:r>
      <w:r>
        <w:t>量（</w:t>
      </w:r>
      <w:r>
        <w:rPr>
          <w:rFonts w:hint="eastAsia"/>
        </w:rPr>
        <w:t>以二氧化碳</w:t>
      </w:r>
      <w:r>
        <w:t>当量</w:t>
      </w:r>
      <w:r>
        <w:rPr>
          <w:rFonts w:hint="eastAsia"/>
        </w:rPr>
        <w:t>为</w:t>
      </w:r>
      <w:r>
        <w:t>单位）</w:t>
      </w:r>
      <w:r>
        <w:rPr>
          <w:rFonts w:hint="eastAsia"/>
        </w:rPr>
        <w:t>来</w:t>
      </w:r>
      <w:r>
        <w:t>记录产品</w:t>
      </w:r>
      <w:r>
        <w:rPr>
          <w:rFonts w:hint="eastAsia"/>
        </w:rPr>
        <w:t>碳足迹</w:t>
      </w:r>
      <w:r>
        <w:t>的量化</w:t>
      </w:r>
      <w:r>
        <w:rPr>
          <w:rFonts w:hint="eastAsia"/>
        </w:rPr>
        <w:t>的</w:t>
      </w:r>
      <w:r>
        <w:t>结果。</w:t>
      </w:r>
    </w:p>
    <w:p>
      <w:pPr>
        <w:pStyle w:val="181"/>
      </w:pPr>
      <w:r>
        <w:rPr>
          <w:rFonts w:hint="eastAsia"/>
        </w:rPr>
        <w:t>声明单位应</w:t>
      </w:r>
      <w:r>
        <w:t>仅用于产品部分碳足迹。</w:t>
      </w:r>
    </w:p>
    <w:p>
      <w:pPr>
        <w:pStyle w:val="107"/>
        <w:spacing w:before="120" w:after="120"/>
      </w:pPr>
      <w:bookmarkStart w:id="74" w:name="_Toc171517894"/>
      <w:bookmarkStart w:id="75" w:name="_Toc173226270"/>
      <w:bookmarkStart w:id="76" w:name="_Toc163639293"/>
      <w:bookmarkStart w:id="77" w:name="_Toc172019152"/>
      <w:bookmarkStart w:id="78" w:name="_Toc169273025"/>
      <w:r>
        <w:rPr>
          <w:rFonts w:hint="eastAsia"/>
        </w:rPr>
        <w:t>系统边界</w:t>
      </w:r>
      <w:bookmarkEnd w:id="74"/>
      <w:bookmarkEnd w:id="75"/>
      <w:bookmarkEnd w:id="76"/>
      <w:bookmarkEnd w:id="77"/>
      <w:bookmarkEnd w:id="78"/>
    </w:p>
    <w:p>
      <w:pPr>
        <w:pStyle w:val="67"/>
        <w:spacing w:before="120" w:after="120"/>
      </w:pPr>
      <w:r>
        <w:rPr>
          <w:rFonts w:hint="eastAsia"/>
        </w:rPr>
        <w:t>产品</w:t>
      </w:r>
      <w:r>
        <w:t>阶段</w:t>
      </w:r>
      <w:r>
        <w:rPr>
          <w:rFonts w:hint="eastAsia"/>
        </w:rPr>
        <w:t>流程</w:t>
      </w:r>
    </w:p>
    <w:p>
      <w:pPr>
        <w:pStyle w:val="58"/>
        <w:ind w:firstLine="420"/>
      </w:pPr>
      <w:r>
        <w:rPr>
          <w:rFonts w:hint="eastAsia"/>
        </w:rPr>
        <w:t>煤制乙二醇产品碳足迹系统边界</w:t>
      </w:r>
      <w:r>
        <w:t>定义为“</w:t>
      </w:r>
      <w:r>
        <w:rPr>
          <w:rFonts w:hint="eastAsia"/>
        </w:rPr>
        <w:t>从摇篮到大门</w:t>
      </w:r>
      <w:r>
        <w:t>”</w:t>
      </w:r>
      <w:r>
        <w:rPr>
          <w:rFonts w:hint="eastAsia"/>
        </w:rPr>
        <w:t>，</w:t>
      </w:r>
      <w:r>
        <w:t>共分为</w:t>
      </w:r>
      <w:r>
        <w:rPr>
          <w:rFonts w:hint="eastAsia"/>
        </w:rPr>
        <w:t>两</w:t>
      </w:r>
      <w:r>
        <w:t>个阶段：原材料</w:t>
      </w:r>
      <w:r>
        <w:rPr>
          <w:rFonts w:hint="eastAsia"/>
        </w:rPr>
        <w:t>和</w:t>
      </w:r>
      <w:r>
        <w:t>能源获取</w:t>
      </w:r>
      <w:r>
        <w:rPr>
          <w:rFonts w:hint="eastAsia"/>
        </w:rPr>
        <w:t>阶段</w:t>
      </w:r>
      <w:r>
        <w:t>、产品</w:t>
      </w:r>
      <w:r>
        <w:rPr>
          <w:rFonts w:hint="eastAsia"/>
        </w:rPr>
        <w:t>生产</w:t>
      </w:r>
      <w:r>
        <w:t>阶段。</w:t>
      </w:r>
      <w:r>
        <w:rPr>
          <w:rFonts w:hint="eastAsia"/>
        </w:rPr>
        <w:t>煤制乙二醇产品系统边界如</w:t>
      </w:r>
      <w:r>
        <w:t>图</w:t>
      </w:r>
      <w:r>
        <w:rPr>
          <w:rFonts w:hint="eastAsia"/>
        </w:rPr>
        <w:t>1</w:t>
      </w:r>
      <w:r>
        <w:t>所示</w:t>
      </w:r>
      <w:r>
        <w:rPr>
          <w:rFonts w:hint="eastAsia"/>
        </w:rPr>
        <w:t>。</w:t>
      </w:r>
    </w:p>
    <w:p>
      <w:pPr>
        <w:pStyle w:val="176"/>
        <w:numPr>
          <w:ilvl w:val="0"/>
          <w:numId w:val="39"/>
        </w:numPr>
      </w:pPr>
      <w:r>
        <w:rPr>
          <w:rFonts w:hint="eastAsia"/>
        </w:rPr>
        <w:t>应包括原材料和</w:t>
      </w:r>
      <w:r>
        <w:t>能源</w:t>
      </w:r>
      <w:r>
        <w:rPr>
          <w:rFonts w:hint="eastAsia"/>
        </w:rPr>
        <w:t>获取阶段（原材料和能源的获取、运输）；</w:t>
      </w:r>
    </w:p>
    <w:p>
      <w:pPr>
        <w:pStyle w:val="176"/>
        <w:numPr>
          <w:ilvl w:val="0"/>
          <w:numId w:val="39"/>
        </w:numPr>
      </w:pPr>
      <w:r>
        <w:rPr>
          <w:rFonts w:hint="eastAsia"/>
        </w:rPr>
        <w:t>应包括产品生产阶段（生产系统、辅助生产系统、厂内运输）。</w:t>
      </w:r>
    </w:p>
    <w:p>
      <w:pPr>
        <w:pStyle w:val="176"/>
        <w:numPr>
          <w:ilvl w:val="0"/>
          <w:numId w:val="0"/>
        </w:numPr>
        <w:ind w:left="425"/>
      </w:pPr>
      <w:r>
        <w:rPr>
          <w:rFonts w:hint="eastAsia"/>
        </w:rPr>
        <w:t>煤制乙二醇产品</w:t>
      </w:r>
      <w:r>
        <w:t>系统边界图</w:t>
      </w:r>
      <w:r>
        <w:rPr>
          <w:rFonts w:hint="eastAsia"/>
        </w:rPr>
        <w:t>如图1所示，煤制乙二醇生产</w:t>
      </w:r>
      <w:r>
        <w:t>工艺流程</w:t>
      </w:r>
      <w:r>
        <w:rPr>
          <w:rFonts w:hint="eastAsia"/>
        </w:rPr>
        <w:t>示例图见附录B。</w:t>
      </w:r>
    </w:p>
    <w:p>
      <w:pPr>
        <w:pStyle w:val="58"/>
        <w:ind w:firstLine="420"/>
        <w:jc w:val="center"/>
      </w:pPr>
      <w:r>
        <w:drawing>
          <wp:inline distT="0" distB="0" distL="0" distR="0">
            <wp:extent cx="5200015" cy="3474720"/>
            <wp:effectExtent l="0" t="0" r="0" b="0"/>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noChangeArrowheads="true"/>
                    </pic:cNvPicPr>
                  </pic:nvPicPr>
                  <pic:blipFill>
                    <a:blip r:embed="rId19">
                      <a:extLst>
                        <a:ext uri="{28A0092B-C50C-407E-A947-70E740481C1C}">
                          <a14:useLocalDpi xmlns:a14="http://schemas.microsoft.com/office/drawing/2010/main" val="false"/>
                        </a:ext>
                      </a:extLst>
                    </a:blip>
                    <a:srcRect/>
                    <a:stretch>
                      <a:fillRect/>
                    </a:stretch>
                  </pic:blipFill>
                  <pic:spPr>
                    <a:xfrm>
                      <a:off x="0" y="0"/>
                      <a:ext cx="5214150" cy="3484165"/>
                    </a:xfrm>
                    <a:prstGeom prst="rect">
                      <a:avLst/>
                    </a:prstGeom>
                    <a:noFill/>
                  </pic:spPr>
                </pic:pic>
              </a:graphicData>
            </a:graphic>
          </wp:inline>
        </w:drawing>
      </w:r>
    </w:p>
    <w:p>
      <w:pPr>
        <w:pStyle w:val="116"/>
        <w:spacing w:before="120" w:after="120"/>
      </w:pPr>
      <w:r>
        <w:rPr>
          <w:rFonts w:hint="eastAsia"/>
        </w:rPr>
        <w:t>煤制乙二醇产品系统边界</w:t>
      </w:r>
      <w:r>
        <w:t>图</w:t>
      </w:r>
    </w:p>
    <w:p>
      <w:pPr>
        <w:pStyle w:val="67"/>
        <w:spacing w:before="120" w:after="120"/>
      </w:pPr>
      <w:r>
        <w:rPr>
          <w:rFonts w:hint="eastAsia"/>
        </w:rPr>
        <w:t>产品阶段范围</w:t>
      </w:r>
    </w:p>
    <w:p>
      <w:pPr>
        <w:pStyle w:val="96"/>
        <w:spacing w:before="120" w:after="120"/>
      </w:pPr>
      <w:r>
        <w:rPr>
          <w:rFonts w:hint="eastAsia"/>
        </w:rPr>
        <w:t>原材料和</w:t>
      </w:r>
      <w:r>
        <w:t>能源获取阶段</w:t>
      </w:r>
    </w:p>
    <w:p>
      <w:pPr>
        <w:pStyle w:val="58"/>
        <w:ind w:firstLine="420"/>
      </w:pPr>
      <w:r>
        <w:rPr>
          <w:rFonts w:hint="eastAsia"/>
        </w:rPr>
        <w:t>原材料和</w:t>
      </w:r>
      <w:r>
        <w:t>能源</w:t>
      </w:r>
      <w:r>
        <w:rPr>
          <w:rFonts w:hint="eastAsia"/>
        </w:rPr>
        <w:t>获取阶段从自然界中获取原材料和</w:t>
      </w:r>
      <w:r>
        <w:t>能源</w:t>
      </w:r>
      <w:r>
        <w:rPr>
          <w:rFonts w:hint="eastAsia"/>
        </w:rPr>
        <w:t>及其预处理，以及过程中所涉及到的运输，直至原材料和</w:t>
      </w:r>
      <w:r>
        <w:t>能源</w:t>
      </w:r>
      <w:r>
        <w:rPr>
          <w:rFonts w:hint="eastAsia"/>
        </w:rPr>
        <w:t>到达生产工厂</w:t>
      </w:r>
      <w:r>
        <w:t>。</w:t>
      </w:r>
      <w:r>
        <w:rPr>
          <w:rFonts w:hint="eastAsia"/>
        </w:rPr>
        <w:t>原材料和</w:t>
      </w:r>
      <w:r>
        <w:t>能源</w:t>
      </w:r>
      <w:r>
        <w:rPr>
          <w:rFonts w:hint="eastAsia"/>
        </w:rPr>
        <w:t>获取</w:t>
      </w:r>
      <w:r>
        <w:t>阶段包括</w:t>
      </w:r>
      <w:r>
        <w:rPr>
          <w:rFonts w:hint="eastAsia"/>
        </w:rPr>
        <w:t>但不限于：</w:t>
      </w:r>
    </w:p>
    <w:p>
      <w:pPr>
        <w:pStyle w:val="176"/>
        <w:numPr>
          <w:ilvl w:val="0"/>
          <w:numId w:val="40"/>
        </w:numPr>
      </w:pPr>
      <w:r>
        <w:rPr>
          <w:rFonts w:hint="eastAsia"/>
        </w:rPr>
        <w:t>原材料的获取和运输（</w:t>
      </w:r>
      <w:r>
        <w:rPr>
          <w:szCs w:val="21"/>
        </w:rPr>
        <w:t>烟煤</w:t>
      </w:r>
      <w:r>
        <w:rPr>
          <w:rFonts w:hint="eastAsia"/>
          <w:szCs w:val="21"/>
        </w:rPr>
        <w:t>、褐煤、无烟煤</w:t>
      </w:r>
      <w:r>
        <w:rPr>
          <w:rFonts w:hint="eastAsia"/>
        </w:rPr>
        <w:t>）；</w:t>
      </w:r>
    </w:p>
    <w:p>
      <w:pPr>
        <w:pStyle w:val="176"/>
        <w:numPr>
          <w:ilvl w:val="0"/>
          <w:numId w:val="40"/>
        </w:numPr>
      </w:pPr>
      <w:r>
        <w:rPr>
          <w:rFonts w:hint="eastAsia"/>
        </w:rPr>
        <w:t>能源的获取和运输（</w:t>
      </w:r>
      <w:bookmarkStart w:id="79" w:name="OLE_LINK1"/>
      <w:bookmarkStart w:id="80" w:name="OLE_LINK2"/>
      <w:r>
        <w:rPr>
          <w:rFonts w:hint="eastAsia"/>
        </w:rPr>
        <w:t>燃料、电力、热力等</w:t>
      </w:r>
      <w:bookmarkEnd w:id="79"/>
      <w:bookmarkEnd w:id="80"/>
      <w:r>
        <w:rPr>
          <w:rFonts w:hint="eastAsia"/>
        </w:rPr>
        <w:t>）。</w:t>
      </w:r>
    </w:p>
    <w:p>
      <w:pPr>
        <w:pStyle w:val="96"/>
        <w:spacing w:before="120" w:after="120"/>
      </w:pPr>
      <w:r>
        <w:rPr>
          <w:rFonts w:hint="eastAsia"/>
        </w:rPr>
        <w:t>产品生产</w:t>
      </w:r>
      <w:r>
        <w:t>阶段</w:t>
      </w:r>
    </w:p>
    <w:p>
      <w:pPr>
        <w:pStyle w:val="58"/>
        <w:ind w:firstLine="420"/>
      </w:pPr>
      <w:r>
        <w:rPr>
          <w:rFonts w:hint="eastAsia"/>
        </w:rPr>
        <w:t>产品生产阶段从</w:t>
      </w:r>
      <w:r>
        <w:t>产品</w:t>
      </w:r>
      <w:r>
        <w:rPr>
          <w:rFonts w:hint="eastAsia"/>
        </w:rPr>
        <w:t>原材料进入</w:t>
      </w:r>
      <w:r>
        <w:t>工厂</w:t>
      </w:r>
      <w:r>
        <w:rPr>
          <w:rFonts w:hint="eastAsia"/>
        </w:rPr>
        <w:t>开始</w:t>
      </w:r>
      <w:r>
        <w:t>，</w:t>
      </w:r>
      <w:r>
        <w:rPr>
          <w:rFonts w:hint="eastAsia"/>
        </w:rPr>
        <w:t>到</w:t>
      </w:r>
      <w:r>
        <w:t>最终产品</w:t>
      </w:r>
      <w:r>
        <w:rPr>
          <w:rFonts w:hint="eastAsia"/>
        </w:rPr>
        <w:t>离开</w:t>
      </w:r>
      <w:r>
        <w:t>工厂</w:t>
      </w:r>
      <w:r>
        <w:rPr>
          <w:rFonts w:hint="eastAsia"/>
        </w:rPr>
        <w:t>终止</w:t>
      </w:r>
      <w:r>
        <w:t>。</w:t>
      </w:r>
      <w:r>
        <w:rPr>
          <w:rFonts w:hint="eastAsia"/>
        </w:rPr>
        <w:t>产品生产</w:t>
      </w:r>
      <w:r>
        <w:t>阶段</w:t>
      </w:r>
      <w:r>
        <w:rPr>
          <w:rFonts w:hint="eastAsia"/>
        </w:rPr>
        <w:t>包括但</w:t>
      </w:r>
      <w:r>
        <w:t>不限于：</w:t>
      </w:r>
    </w:p>
    <w:p>
      <w:pPr>
        <w:pStyle w:val="176"/>
        <w:numPr>
          <w:ilvl w:val="0"/>
          <w:numId w:val="41"/>
        </w:numPr>
      </w:pPr>
      <w:r>
        <w:rPr>
          <w:rFonts w:hint="eastAsia"/>
        </w:rPr>
        <w:t>煤炭预处理（筛分、磨煤、制浆、煤棒制作）；</w:t>
      </w:r>
    </w:p>
    <w:p>
      <w:pPr>
        <w:pStyle w:val="176"/>
        <w:numPr>
          <w:ilvl w:val="0"/>
          <w:numId w:val="41"/>
        </w:numPr>
      </w:pPr>
      <w:r>
        <w:rPr>
          <w:rFonts w:hint="eastAsia"/>
        </w:rPr>
        <w:t>空分</w:t>
      </w:r>
      <w:r>
        <w:t>（</w:t>
      </w:r>
      <w:r>
        <w:rPr>
          <w:rFonts w:hint="eastAsia"/>
        </w:rPr>
        <w:t>蒸汽驱动、电驱</w:t>
      </w:r>
      <w:r>
        <w:t>）</w:t>
      </w:r>
      <w:r>
        <w:rPr>
          <w:rFonts w:hint="eastAsia"/>
        </w:rPr>
        <w:t>；</w:t>
      </w:r>
    </w:p>
    <w:p>
      <w:pPr>
        <w:pStyle w:val="176"/>
        <w:numPr>
          <w:ilvl w:val="0"/>
          <w:numId w:val="41"/>
        </w:numPr>
      </w:pPr>
      <w:r>
        <w:rPr>
          <w:rFonts w:hint="eastAsia"/>
        </w:rPr>
        <w:t>气化</w:t>
      </w:r>
      <w:r>
        <w:t>反应；</w:t>
      </w:r>
    </w:p>
    <w:p>
      <w:pPr>
        <w:pStyle w:val="176"/>
        <w:numPr>
          <w:ilvl w:val="0"/>
          <w:numId w:val="41"/>
        </w:numPr>
      </w:pPr>
      <w:r>
        <w:rPr>
          <w:rFonts w:hint="eastAsia"/>
        </w:rPr>
        <w:t>粗合成气变换、净化（脱碳、脱硫）</w:t>
      </w:r>
      <w:r>
        <w:t>；</w:t>
      </w:r>
    </w:p>
    <w:p>
      <w:pPr>
        <w:pStyle w:val="176"/>
        <w:numPr>
          <w:ilvl w:val="0"/>
          <w:numId w:val="41"/>
        </w:numPr>
      </w:pPr>
      <w:r>
        <w:rPr>
          <w:rFonts w:hint="eastAsia"/>
        </w:rPr>
        <w:t>草酸二甲酯合成及</w:t>
      </w:r>
      <w:r>
        <w:t>精制；</w:t>
      </w:r>
    </w:p>
    <w:p>
      <w:pPr>
        <w:pStyle w:val="176"/>
        <w:numPr>
          <w:ilvl w:val="0"/>
          <w:numId w:val="41"/>
        </w:numPr>
      </w:pPr>
      <w:r>
        <w:rPr>
          <w:rFonts w:hint="eastAsia"/>
        </w:rPr>
        <w:t>乙二醇合成及精制；</w:t>
      </w:r>
    </w:p>
    <w:p>
      <w:pPr>
        <w:pStyle w:val="176"/>
        <w:numPr>
          <w:ilvl w:val="0"/>
          <w:numId w:val="41"/>
        </w:numPr>
      </w:pPr>
      <w:r>
        <w:t>水处理</w:t>
      </w:r>
      <w:r>
        <w:rPr>
          <w:rFonts w:hint="eastAsia"/>
        </w:rPr>
        <w:t>；</w:t>
      </w:r>
    </w:p>
    <w:p>
      <w:pPr>
        <w:pStyle w:val="176"/>
        <w:numPr>
          <w:ilvl w:val="0"/>
          <w:numId w:val="41"/>
        </w:numPr>
      </w:pPr>
      <w:r>
        <w:rPr>
          <w:rFonts w:hint="eastAsia"/>
        </w:rPr>
        <w:t>厂内</w:t>
      </w:r>
      <w:r>
        <w:t>运输。</w:t>
      </w:r>
    </w:p>
    <w:p>
      <w:pPr>
        <w:pStyle w:val="107"/>
        <w:spacing w:before="120" w:after="120"/>
        <w:rPr>
          <w:rFonts w:hAnsi="黑体" w:cs="黑体"/>
          <w:color w:val="FF0000"/>
        </w:rPr>
      </w:pPr>
      <w:r>
        <w:rPr>
          <w:rFonts w:hint="eastAsia" w:hAnsi="黑体" w:cs="黑体"/>
        </w:rPr>
        <w:t>取舍准则</w:t>
      </w:r>
    </w:p>
    <w:p>
      <w:pPr>
        <w:pStyle w:val="58"/>
        <w:ind w:firstLine="420"/>
      </w:pPr>
      <w:r>
        <w:rPr>
          <w:rFonts w:hint="eastAsia"/>
        </w:rPr>
        <w:t>所涉及的单元过程、物质/能量数据的取舍应遵循如下准则：</w:t>
      </w:r>
    </w:p>
    <w:p>
      <w:pPr>
        <w:pStyle w:val="176"/>
        <w:numPr>
          <w:ilvl w:val="0"/>
          <w:numId w:val="42"/>
        </w:numPr>
      </w:pPr>
      <w:r>
        <w:rPr>
          <w:rFonts w:hint="eastAsia"/>
        </w:rPr>
        <w:t>所有的能源输入均需列出；</w:t>
      </w:r>
    </w:p>
    <w:p>
      <w:pPr>
        <w:pStyle w:val="176"/>
      </w:pPr>
      <w:r>
        <w:rPr>
          <w:rFonts w:hint="eastAsia"/>
        </w:rPr>
        <w:t>对产品碳足迹贡献小于1%的单元过程或物质可忽略，所有忽略的单元过程或物质对最终产品碳足迹贡献之和不得超过5%。如存在多项贡献小于1%的单元过程或物质且总和已超过5%，依照贡献度排序，优先忽略贡献度最小的单元过程或物质，达到5%的限额后其余项不可再忽略；</w:t>
      </w:r>
    </w:p>
    <w:p>
      <w:pPr>
        <w:pStyle w:val="176"/>
      </w:pPr>
      <w:r>
        <w:t>非生产性</w:t>
      </w:r>
      <w:r>
        <w:rPr>
          <w:rFonts w:hint="eastAsia"/>
        </w:rPr>
        <w:t>的道路与厂房等基础设施、各工序设备设施、厂区内人员及生活设施的消耗和排放，均可忽略；</w:t>
      </w:r>
    </w:p>
    <w:p>
      <w:pPr>
        <w:pStyle w:val="176"/>
      </w:pPr>
      <w:r>
        <w:rPr>
          <w:rFonts w:hint="eastAsia"/>
        </w:rPr>
        <w:t>忽略的温室气体排放应在评价报告中明确说明，所选择的取舍准则对评价结果产生的影响应在评价报告中做出解释。</w:t>
      </w:r>
    </w:p>
    <w:p>
      <w:pPr>
        <w:pStyle w:val="106"/>
        <w:spacing w:before="240" w:after="240"/>
      </w:pPr>
      <w:bookmarkStart w:id="81" w:name="_Toc179815570"/>
      <w:bookmarkStart w:id="82" w:name="_Toc187832933"/>
      <w:bookmarkStart w:id="83" w:name="_Toc183078498"/>
      <w:bookmarkStart w:id="84" w:name="_Toc201828348"/>
      <w:bookmarkStart w:id="85" w:name="_Toc182815561"/>
      <w:bookmarkStart w:id="86" w:name="_Toc184203378"/>
      <w:bookmarkStart w:id="87" w:name="_Toc184306745"/>
      <w:bookmarkStart w:id="88" w:name="_Toc183616719"/>
      <w:bookmarkStart w:id="89" w:name="_Toc184918261"/>
      <w:bookmarkStart w:id="90" w:name="_Toc184830898"/>
      <w:bookmarkStart w:id="91" w:name="_Toc184718778"/>
      <w:bookmarkStart w:id="92" w:name="_Toc185949915"/>
      <w:bookmarkStart w:id="93" w:name="_Toc182907057"/>
      <w:bookmarkStart w:id="94" w:name="_Toc185957772"/>
      <w:r>
        <w:t>清单分析</w:t>
      </w:r>
      <w:bookmarkEnd w:id="81"/>
      <w:bookmarkEnd w:id="82"/>
      <w:bookmarkEnd w:id="83"/>
      <w:bookmarkEnd w:id="84"/>
      <w:bookmarkEnd w:id="85"/>
      <w:bookmarkEnd w:id="86"/>
      <w:bookmarkEnd w:id="87"/>
      <w:bookmarkEnd w:id="88"/>
      <w:bookmarkEnd w:id="89"/>
      <w:bookmarkEnd w:id="90"/>
      <w:bookmarkEnd w:id="91"/>
      <w:bookmarkEnd w:id="92"/>
      <w:bookmarkEnd w:id="93"/>
      <w:bookmarkEnd w:id="94"/>
    </w:p>
    <w:p>
      <w:pPr>
        <w:pStyle w:val="107"/>
        <w:spacing w:before="120" w:after="120"/>
      </w:pPr>
      <w:r>
        <w:rPr>
          <w:rFonts w:hint="eastAsia"/>
        </w:rPr>
        <w:t>数据</w:t>
      </w:r>
      <w:r>
        <w:t>类型</w:t>
      </w:r>
    </w:p>
    <w:p>
      <w:pPr>
        <w:pStyle w:val="67"/>
        <w:spacing w:before="120" w:after="120"/>
      </w:pPr>
      <w:r>
        <w:rPr>
          <w:rFonts w:hint="eastAsia"/>
        </w:rPr>
        <w:t>初级数据</w:t>
      </w:r>
    </w:p>
    <w:p>
      <w:pPr>
        <w:pStyle w:val="58"/>
        <w:ind w:firstLine="420"/>
      </w:pPr>
      <w:r>
        <w:rPr>
          <w:rFonts w:hint="eastAsia"/>
        </w:rPr>
        <w:t>初级数据包含直接排放的活动数据或从特定场地获取的数据，也可包含产品相应进程中的数据分配值。初级数据可以通过测量或建模获得，其结果是产品生命周期中的特定值。分配的数据只要满足初级数据的要求，可被认为是初级数据。产品的关键部件和主要生产过程数据宜使用初级数据，如产品制造阶段的原材料消耗、能源消耗、污染物排放以及运输（包括运输形式、运输距离和运输量）等。应收集的数据信息种类如表1所示（参照附录c）。</w:t>
      </w:r>
    </w:p>
    <w:p>
      <w:pPr>
        <w:pStyle w:val="67"/>
        <w:spacing w:before="120" w:after="120"/>
      </w:pPr>
      <w:r>
        <w:rPr>
          <w:rFonts w:hint="eastAsia"/>
        </w:rPr>
        <w:t>次级数据</w:t>
      </w:r>
    </w:p>
    <w:p>
      <w:pPr>
        <w:pStyle w:val="167"/>
        <w:numPr>
          <w:ilvl w:val="0"/>
          <w:numId w:val="0"/>
        </w:numPr>
        <w:ind w:firstLine="420" w:firstLineChars="200"/>
        <w:rPr>
          <w:rFonts w:hint="eastAsia"/>
        </w:rPr>
      </w:pPr>
      <w:r>
        <w:rPr>
          <w:rFonts w:hint="eastAsia"/>
        </w:rPr>
        <w:t>次级</w:t>
      </w:r>
      <w:r>
        <w:t>数据</w:t>
      </w:r>
      <w:r>
        <w:rPr>
          <w:rFonts w:hint="eastAsia"/>
        </w:rPr>
        <w:t>从</w:t>
      </w:r>
      <w:r>
        <w:t>外部</w:t>
      </w:r>
      <w:r>
        <w:rPr>
          <w:rFonts w:hint="eastAsia"/>
        </w:rPr>
        <w:t>来源（</w:t>
      </w:r>
      <w:r>
        <w:t>如</w:t>
      </w:r>
      <w:r>
        <w:rPr>
          <w:rFonts w:hint="eastAsia"/>
        </w:rPr>
        <w:t>，</w:t>
      </w:r>
      <w:r>
        <w:t>生命周期</w:t>
      </w:r>
      <w:r>
        <w:rPr>
          <w:rFonts w:hint="eastAsia"/>
        </w:rPr>
        <w:t>数据库</w:t>
      </w:r>
      <w:r>
        <w:t>、</w:t>
      </w:r>
      <w:r>
        <w:rPr>
          <w:rFonts w:hint="eastAsia"/>
        </w:rPr>
        <w:t>行业</w:t>
      </w:r>
      <w:r>
        <w:t>协会等</w:t>
      </w:r>
      <w:r>
        <w:rPr>
          <w:rFonts w:hint="eastAsia"/>
        </w:rPr>
        <w:t>）</w:t>
      </w:r>
      <w:r>
        <w:t>获得</w:t>
      </w:r>
      <w:r>
        <w:rPr>
          <w:rFonts w:hint="eastAsia"/>
        </w:rPr>
        <w:t>，</w:t>
      </w:r>
      <w:r>
        <w:t>或从</w:t>
      </w:r>
      <w:r>
        <w:rPr>
          <w:rFonts w:hint="eastAsia"/>
        </w:rPr>
        <w:t>组织</w:t>
      </w:r>
      <w:r>
        <w:t>内部</w:t>
      </w:r>
      <w:r>
        <w:rPr>
          <w:rFonts w:hint="eastAsia"/>
        </w:rPr>
        <w:t>的另一过程、活动（</w:t>
      </w:r>
      <w:r>
        <w:t>如，</w:t>
      </w:r>
      <w:r>
        <w:rPr>
          <w:rFonts w:hint="eastAsia"/>
        </w:rPr>
        <w:t>相同</w:t>
      </w:r>
      <w:r>
        <w:t>种类</w:t>
      </w:r>
      <w:r>
        <w:rPr>
          <w:rFonts w:hint="eastAsia"/>
        </w:rPr>
        <w:t>或</w:t>
      </w:r>
      <w:r>
        <w:t>类似</w:t>
      </w:r>
      <w:r>
        <w:rPr>
          <w:rFonts w:hint="eastAsia"/>
        </w:rPr>
        <w:t>产品的</w:t>
      </w:r>
      <w:r>
        <w:t>初级数据</w:t>
      </w:r>
      <w:r>
        <w:rPr>
          <w:rFonts w:hint="eastAsia"/>
        </w:rPr>
        <w:t>）</w:t>
      </w:r>
      <w:r>
        <w:t>中</w:t>
      </w:r>
      <w:r>
        <w:rPr>
          <w:rFonts w:hint="eastAsia"/>
        </w:rPr>
        <w:t>获得</w:t>
      </w:r>
      <w:r>
        <w:t>，</w:t>
      </w:r>
      <w:r>
        <w:rPr>
          <w:rFonts w:hint="eastAsia"/>
        </w:rPr>
        <w:t>用做</w:t>
      </w:r>
      <w:r>
        <w:t>产品</w:t>
      </w:r>
      <w:r>
        <w:rPr>
          <w:rFonts w:hint="eastAsia"/>
        </w:rPr>
        <w:t>生命</w:t>
      </w:r>
      <w:r>
        <w:t>周期</w:t>
      </w:r>
      <w:r>
        <w:rPr>
          <w:rFonts w:hint="eastAsia"/>
        </w:rPr>
        <w:t>的</w:t>
      </w:r>
      <w:r>
        <w:t>清单过程</w:t>
      </w:r>
      <w:r>
        <w:rPr>
          <w:rFonts w:hint="eastAsia"/>
        </w:rPr>
        <w:t>的</w:t>
      </w:r>
      <w:r>
        <w:t>替代数据。</w:t>
      </w:r>
      <w:r>
        <w:rPr>
          <w:rFonts w:hint="eastAsia" w:hAnsi="宋体" w:cs="宋体"/>
        </w:rPr>
        <w:t>次级数据包括通过引用公用数据、参考数据和其他文献研究等数据以供组织计算产品碳排放量而收集的数据和其他背景数据，如温室气体排放因子数据等，对数据的获得方式和来源均应予以说明，参照附录</w:t>
      </w:r>
      <w:r>
        <w:rPr>
          <w:rFonts w:hAnsi="宋体" w:cs="宋体"/>
        </w:rPr>
        <w:t>D</w:t>
      </w:r>
      <w:r>
        <w:rPr>
          <w:rFonts w:hint="eastAsia" w:hAnsi="宋体" w:cs="宋体"/>
        </w:rPr>
        <w:t>中表</w:t>
      </w:r>
      <w:r>
        <w:rPr>
          <w:rFonts w:hAnsi="宋体" w:cs="宋体"/>
        </w:rPr>
        <w:t>D</w:t>
      </w:r>
      <w:r>
        <w:rPr>
          <w:rFonts w:hint="eastAsia" w:hAnsi="宋体" w:cs="宋体"/>
        </w:rPr>
        <w:t>.1</w:t>
      </w:r>
      <w:r>
        <w:rPr>
          <w:rFonts w:hint="eastAsia"/>
        </w:rPr>
        <w:t>采集。</w:t>
      </w:r>
    </w:p>
    <w:p>
      <w:pPr>
        <w:pStyle w:val="167"/>
        <w:numPr>
          <w:ilvl w:val="0"/>
          <w:numId w:val="0"/>
        </w:numPr>
        <w:ind w:firstLine="420" w:firstLineChars="200"/>
        <w:rPr>
          <w:rFonts w:hint="eastAsia"/>
        </w:rPr>
      </w:pPr>
    </w:p>
    <w:p>
      <w:pPr>
        <w:pStyle w:val="167"/>
        <w:numPr>
          <w:ilvl w:val="0"/>
          <w:numId w:val="0"/>
        </w:numPr>
        <w:ind w:firstLine="420" w:firstLineChars="200"/>
        <w:rPr>
          <w:rFonts w:hint="eastAsia"/>
        </w:rPr>
      </w:pPr>
    </w:p>
    <w:p>
      <w:pPr>
        <w:pStyle w:val="167"/>
        <w:numPr>
          <w:ilvl w:val="0"/>
          <w:numId w:val="0"/>
        </w:numPr>
        <w:ind w:firstLine="420" w:firstLineChars="200"/>
        <w:rPr>
          <w:rFonts w:hint="eastAsia"/>
        </w:rPr>
      </w:pPr>
    </w:p>
    <w:p>
      <w:pPr>
        <w:pStyle w:val="114"/>
        <w:spacing w:before="120" w:after="120"/>
      </w:pPr>
      <w:r>
        <w:rPr>
          <w:rFonts w:hint="eastAsia"/>
        </w:rPr>
        <w:t>数据</w:t>
      </w:r>
      <w:r>
        <w:t>类型描述</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580"/>
        <w:gridCol w:w="1725"/>
        <w:gridCol w:w="47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pPr>
              <w:ind w:firstLine="480"/>
              <w:jc w:val="center"/>
              <w:rPr>
                <w:rFonts w:ascii="宋体" w:hAnsi="宋体" w:cs="宋体"/>
                <w:kern w:val="0"/>
                <w:sz w:val="18"/>
                <w:szCs w:val="18"/>
              </w:rPr>
            </w:pPr>
          </w:p>
        </w:tc>
        <w:tc>
          <w:tcPr>
            <w:tcW w:w="612" w:type="dxa"/>
            <w:vAlign w:val="center"/>
          </w:tcPr>
          <w:p>
            <w:pPr>
              <w:ind w:firstLine="480"/>
              <w:jc w:val="center"/>
              <w:rPr>
                <w:rFonts w:ascii="宋体" w:hAnsi="宋体" w:cs="宋体"/>
                <w:kern w:val="0"/>
                <w:sz w:val="18"/>
                <w:szCs w:val="18"/>
              </w:rPr>
            </w:pPr>
          </w:p>
        </w:tc>
        <w:tc>
          <w:tcPr>
            <w:tcW w:w="1872" w:type="dxa"/>
            <w:vAlign w:val="center"/>
          </w:tcPr>
          <w:p>
            <w:pPr>
              <w:ind w:firstLine="480"/>
              <w:rPr>
                <w:rFonts w:ascii="宋体" w:hAnsi="宋体" w:cs="宋体"/>
                <w:kern w:val="0"/>
                <w:sz w:val="18"/>
                <w:szCs w:val="18"/>
              </w:rPr>
            </w:pPr>
            <w:r>
              <w:rPr>
                <w:rFonts w:hint="eastAsia" w:ascii="宋体" w:hAnsi="宋体" w:cs="宋体"/>
                <w:kern w:val="0"/>
                <w:sz w:val="18"/>
                <w:szCs w:val="18"/>
              </w:rPr>
              <w:t>类型</w:t>
            </w:r>
          </w:p>
        </w:tc>
        <w:tc>
          <w:tcPr>
            <w:tcW w:w="5433" w:type="dxa"/>
            <w:vAlign w:val="center"/>
          </w:tcPr>
          <w:p>
            <w:pPr>
              <w:pStyle w:val="25"/>
              <w:widowControl/>
              <w:jc w:val="center"/>
              <w:rPr>
                <w:rFonts w:ascii="宋体" w:hAnsi="宋体" w:cs="宋体"/>
                <w:sz w:val="18"/>
                <w:szCs w:val="18"/>
              </w:rPr>
            </w:pPr>
            <w:r>
              <w:rPr>
                <w:rFonts w:hint="eastAsia" w:ascii="宋体" w:hAnsi="宋体" w:cs="宋体"/>
                <w:sz w:val="18"/>
                <w:szCs w:val="18"/>
              </w:rPr>
              <w:t>物料及数据清单</w:t>
            </w:r>
          </w:p>
        </w:tc>
        <w:tc>
          <w:tcPr>
            <w:tcW w:w="1857" w:type="dxa"/>
            <w:vAlign w:val="center"/>
          </w:tcPr>
          <w:p>
            <w:pPr>
              <w:pStyle w:val="25"/>
              <w:widowControl/>
              <w:jc w:val="center"/>
              <w:rPr>
                <w:rFonts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Merge w:val="restart"/>
            <w:vAlign w:val="center"/>
          </w:tcPr>
          <w:p>
            <w:pPr>
              <w:pStyle w:val="25"/>
              <w:widowControl/>
              <w:jc w:val="center"/>
              <w:rPr>
                <w:rFonts w:ascii="宋体" w:hAnsi="宋体" w:cs="宋体"/>
                <w:sz w:val="18"/>
                <w:szCs w:val="18"/>
              </w:rPr>
            </w:pPr>
            <w:r>
              <w:rPr>
                <w:rFonts w:hint="eastAsia" w:ascii="宋体" w:hAnsi="宋体" w:cs="宋体"/>
                <w:sz w:val="18"/>
                <w:szCs w:val="18"/>
              </w:rPr>
              <w:t>现场</w:t>
            </w:r>
          </w:p>
          <w:p>
            <w:pPr>
              <w:pStyle w:val="25"/>
              <w:widowControl/>
              <w:jc w:val="center"/>
              <w:rPr>
                <w:rFonts w:ascii="宋体" w:hAnsi="宋体" w:cs="宋体"/>
                <w:sz w:val="18"/>
                <w:szCs w:val="18"/>
              </w:rPr>
            </w:pPr>
            <w:r>
              <w:rPr>
                <w:rFonts w:hint="eastAsia" w:ascii="宋体" w:hAnsi="宋体" w:cs="宋体"/>
                <w:sz w:val="18"/>
                <w:szCs w:val="18"/>
              </w:rPr>
              <w:t>数据</w:t>
            </w:r>
          </w:p>
          <w:p>
            <w:pPr>
              <w:pStyle w:val="25"/>
              <w:widowControl/>
              <w:jc w:val="center"/>
              <w:rPr>
                <w:rFonts w:ascii="宋体" w:hAnsi="宋体" w:cs="宋体"/>
                <w:sz w:val="18"/>
                <w:szCs w:val="18"/>
              </w:rPr>
            </w:pPr>
          </w:p>
        </w:tc>
        <w:tc>
          <w:tcPr>
            <w:tcW w:w="612" w:type="dxa"/>
            <w:vMerge w:val="restart"/>
            <w:vAlign w:val="center"/>
          </w:tcPr>
          <w:p>
            <w:pPr>
              <w:pStyle w:val="25"/>
              <w:widowControl/>
              <w:jc w:val="center"/>
              <w:rPr>
                <w:rFonts w:ascii="宋体" w:hAnsi="宋体" w:cs="宋体"/>
                <w:sz w:val="18"/>
                <w:szCs w:val="18"/>
              </w:rPr>
            </w:pPr>
            <w:r>
              <w:rPr>
                <w:rFonts w:hint="eastAsia" w:ascii="宋体" w:hAnsi="宋体" w:cs="宋体"/>
                <w:sz w:val="18"/>
                <w:szCs w:val="18"/>
              </w:rPr>
              <w:t>输入</w:t>
            </w:r>
          </w:p>
          <w:p>
            <w:pPr>
              <w:pStyle w:val="25"/>
              <w:widowControl/>
              <w:jc w:val="center"/>
              <w:rPr>
                <w:rFonts w:ascii="宋体" w:hAnsi="宋体" w:cs="宋体"/>
                <w:sz w:val="18"/>
                <w:szCs w:val="18"/>
              </w:rPr>
            </w:pPr>
          </w:p>
        </w:tc>
        <w:tc>
          <w:tcPr>
            <w:tcW w:w="1872" w:type="dxa"/>
            <w:vAlign w:val="center"/>
          </w:tcPr>
          <w:p>
            <w:pPr>
              <w:pStyle w:val="25"/>
              <w:widowControl/>
              <w:jc w:val="center"/>
              <w:rPr>
                <w:rFonts w:ascii="宋体" w:hAnsi="宋体" w:cs="宋体"/>
                <w:sz w:val="18"/>
                <w:szCs w:val="18"/>
              </w:rPr>
            </w:pPr>
            <w:r>
              <w:rPr>
                <w:rFonts w:hint="eastAsia" w:ascii="宋体" w:hAnsi="宋体" w:cs="宋体"/>
                <w:sz w:val="18"/>
                <w:szCs w:val="18"/>
              </w:rPr>
              <w:t>原料消耗量</w:t>
            </w:r>
          </w:p>
        </w:tc>
        <w:tc>
          <w:tcPr>
            <w:tcW w:w="5433" w:type="dxa"/>
            <w:vAlign w:val="center"/>
          </w:tcPr>
          <w:p>
            <w:pPr>
              <w:pStyle w:val="25"/>
              <w:widowControl/>
              <w:rPr>
                <w:rFonts w:ascii="宋体" w:hAnsi="宋体" w:cs="宋体"/>
                <w:sz w:val="18"/>
                <w:szCs w:val="18"/>
              </w:rPr>
            </w:pPr>
            <w:r>
              <w:rPr>
                <w:rFonts w:hint="eastAsia" w:ascii="宋体" w:hAnsi="宋体" w:cs="宋体"/>
                <w:sz w:val="18"/>
                <w:szCs w:val="18"/>
              </w:rPr>
              <w:t>烟煤、褐煤、无烟煤</w:t>
            </w:r>
          </w:p>
        </w:tc>
        <w:tc>
          <w:tcPr>
            <w:tcW w:w="1857" w:type="dxa"/>
            <w:vMerge w:val="restart"/>
            <w:vAlign w:val="center"/>
          </w:tcPr>
          <w:p>
            <w:pPr>
              <w:pStyle w:val="25"/>
              <w:widowControl/>
              <w:jc w:val="center"/>
              <w:rPr>
                <w:rFonts w:ascii="宋体" w:hAnsi="宋体" w:cs="宋体"/>
                <w:sz w:val="18"/>
                <w:szCs w:val="18"/>
              </w:rPr>
            </w:pPr>
            <w:r>
              <w:rPr>
                <w:rFonts w:hint="eastAsia" w:ascii="宋体" w:hAnsi="宋体" w:cs="宋体"/>
                <w:sz w:val="18"/>
                <w:szCs w:val="18"/>
              </w:rPr>
              <w:t>初级数据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Merge w:val="continue"/>
            <w:vAlign w:val="center"/>
          </w:tcPr>
          <w:p>
            <w:pPr>
              <w:ind w:firstLine="480"/>
              <w:jc w:val="center"/>
              <w:rPr>
                <w:rFonts w:ascii="宋体" w:hAnsi="宋体" w:cs="宋体"/>
                <w:kern w:val="0"/>
                <w:sz w:val="18"/>
                <w:szCs w:val="18"/>
              </w:rPr>
            </w:pPr>
          </w:p>
        </w:tc>
        <w:tc>
          <w:tcPr>
            <w:tcW w:w="612" w:type="dxa"/>
            <w:vMerge w:val="continue"/>
            <w:vAlign w:val="center"/>
          </w:tcPr>
          <w:p>
            <w:pPr>
              <w:ind w:firstLine="480"/>
              <w:jc w:val="center"/>
              <w:rPr>
                <w:rFonts w:ascii="宋体" w:hAnsi="宋体" w:cs="宋体"/>
                <w:kern w:val="0"/>
                <w:sz w:val="18"/>
                <w:szCs w:val="18"/>
              </w:rPr>
            </w:pPr>
          </w:p>
        </w:tc>
        <w:tc>
          <w:tcPr>
            <w:tcW w:w="1872" w:type="dxa"/>
            <w:vAlign w:val="center"/>
          </w:tcPr>
          <w:p>
            <w:pPr>
              <w:pStyle w:val="25"/>
              <w:widowControl/>
              <w:jc w:val="center"/>
              <w:rPr>
                <w:rFonts w:ascii="宋体" w:hAnsi="宋体" w:cs="宋体"/>
                <w:sz w:val="18"/>
                <w:szCs w:val="18"/>
              </w:rPr>
            </w:pPr>
            <w:r>
              <w:rPr>
                <w:rFonts w:hint="eastAsia" w:ascii="宋体" w:hAnsi="宋体" w:cs="宋体"/>
                <w:sz w:val="18"/>
                <w:szCs w:val="18"/>
              </w:rPr>
              <w:t>燃料消耗量</w:t>
            </w:r>
          </w:p>
        </w:tc>
        <w:tc>
          <w:tcPr>
            <w:tcW w:w="5433" w:type="dxa"/>
            <w:vAlign w:val="center"/>
          </w:tcPr>
          <w:p>
            <w:pPr>
              <w:pStyle w:val="25"/>
              <w:widowControl/>
              <w:rPr>
                <w:rFonts w:ascii="宋体" w:hAnsi="宋体" w:cs="宋体"/>
                <w:sz w:val="18"/>
                <w:szCs w:val="18"/>
              </w:rPr>
            </w:pPr>
            <w:r>
              <w:rPr>
                <w:rFonts w:hint="eastAsia" w:ascii="宋体" w:hAnsi="宋体" w:cs="宋体"/>
                <w:sz w:val="18"/>
                <w:szCs w:val="18"/>
              </w:rPr>
              <w:t>煤炭</w:t>
            </w:r>
          </w:p>
        </w:tc>
        <w:tc>
          <w:tcPr>
            <w:tcW w:w="1857" w:type="dxa"/>
            <w:vMerge w:val="continue"/>
            <w:vAlign w:val="center"/>
          </w:tcPr>
          <w:p>
            <w:pPr>
              <w:ind w:firstLine="48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vMerge w:val="continue"/>
            <w:vAlign w:val="center"/>
          </w:tcPr>
          <w:p>
            <w:pPr>
              <w:ind w:firstLine="480"/>
              <w:jc w:val="center"/>
              <w:rPr>
                <w:rFonts w:ascii="宋体" w:hAnsi="宋体" w:cs="宋体"/>
                <w:kern w:val="0"/>
                <w:sz w:val="18"/>
                <w:szCs w:val="18"/>
              </w:rPr>
            </w:pPr>
          </w:p>
        </w:tc>
        <w:tc>
          <w:tcPr>
            <w:tcW w:w="612" w:type="dxa"/>
            <w:vMerge w:val="continue"/>
            <w:vAlign w:val="center"/>
          </w:tcPr>
          <w:p>
            <w:pPr>
              <w:ind w:firstLine="480"/>
              <w:jc w:val="center"/>
              <w:rPr>
                <w:rFonts w:ascii="宋体" w:hAnsi="宋体" w:cs="宋体"/>
                <w:kern w:val="0"/>
                <w:sz w:val="18"/>
                <w:szCs w:val="18"/>
              </w:rPr>
            </w:pPr>
          </w:p>
        </w:tc>
        <w:tc>
          <w:tcPr>
            <w:tcW w:w="1872" w:type="dxa"/>
            <w:vAlign w:val="center"/>
          </w:tcPr>
          <w:p>
            <w:pPr>
              <w:pStyle w:val="25"/>
              <w:widowControl/>
              <w:jc w:val="center"/>
              <w:rPr>
                <w:rFonts w:ascii="宋体" w:hAnsi="宋体" w:cs="宋体"/>
                <w:sz w:val="18"/>
                <w:szCs w:val="18"/>
              </w:rPr>
            </w:pPr>
            <w:r>
              <w:rPr>
                <w:rFonts w:hint="eastAsia" w:ascii="宋体" w:hAnsi="宋体" w:cs="宋体"/>
                <w:sz w:val="18"/>
                <w:szCs w:val="18"/>
              </w:rPr>
              <w:t>电力/热力</w:t>
            </w:r>
          </w:p>
        </w:tc>
        <w:tc>
          <w:tcPr>
            <w:tcW w:w="5433" w:type="dxa"/>
            <w:vAlign w:val="center"/>
          </w:tcPr>
          <w:p>
            <w:pPr>
              <w:pStyle w:val="25"/>
              <w:widowControl/>
              <w:rPr>
                <w:rFonts w:ascii="宋体" w:hAnsi="宋体" w:cs="宋体"/>
                <w:sz w:val="18"/>
                <w:szCs w:val="18"/>
              </w:rPr>
            </w:pPr>
            <w:r>
              <w:rPr>
                <w:rFonts w:hint="eastAsia" w:ascii="宋体" w:hAnsi="宋体" w:cs="宋体"/>
                <w:sz w:val="18"/>
                <w:szCs w:val="18"/>
              </w:rPr>
              <w:t>自产量和外购量</w:t>
            </w:r>
          </w:p>
        </w:tc>
        <w:tc>
          <w:tcPr>
            <w:tcW w:w="1857" w:type="dxa"/>
            <w:vMerge w:val="continue"/>
            <w:vAlign w:val="center"/>
          </w:tcPr>
          <w:p>
            <w:pPr>
              <w:ind w:firstLine="48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Merge w:val="continue"/>
            <w:vAlign w:val="center"/>
          </w:tcPr>
          <w:p>
            <w:pPr>
              <w:ind w:firstLine="480"/>
              <w:jc w:val="center"/>
              <w:rPr>
                <w:rFonts w:ascii="宋体" w:hAnsi="宋体" w:cs="宋体"/>
                <w:kern w:val="0"/>
                <w:sz w:val="18"/>
                <w:szCs w:val="18"/>
              </w:rPr>
            </w:pPr>
          </w:p>
        </w:tc>
        <w:tc>
          <w:tcPr>
            <w:tcW w:w="612" w:type="dxa"/>
            <w:vMerge w:val="continue"/>
            <w:vAlign w:val="center"/>
          </w:tcPr>
          <w:p>
            <w:pPr>
              <w:ind w:firstLine="480"/>
              <w:jc w:val="center"/>
              <w:rPr>
                <w:rFonts w:ascii="宋体" w:hAnsi="宋体" w:cs="宋体"/>
                <w:kern w:val="0"/>
                <w:sz w:val="18"/>
                <w:szCs w:val="18"/>
              </w:rPr>
            </w:pPr>
          </w:p>
        </w:tc>
        <w:tc>
          <w:tcPr>
            <w:tcW w:w="1872" w:type="dxa"/>
            <w:vAlign w:val="center"/>
          </w:tcPr>
          <w:p>
            <w:pPr>
              <w:pStyle w:val="25"/>
              <w:widowControl/>
              <w:jc w:val="center"/>
              <w:rPr>
                <w:rFonts w:ascii="宋体" w:hAnsi="宋体" w:cs="宋体"/>
                <w:sz w:val="18"/>
                <w:szCs w:val="18"/>
              </w:rPr>
            </w:pPr>
            <w:r>
              <w:rPr>
                <w:rFonts w:hint="eastAsia" w:ascii="宋体" w:hAnsi="宋体" w:cs="宋体"/>
                <w:sz w:val="18"/>
                <w:szCs w:val="18"/>
              </w:rPr>
              <w:t>铺料消耗量</w:t>
            </w:r>
          </w:p>
        </w:tc>
        <w:tc>
          <w:tcPr>
            <w:tcW w:w="5433" w:type="dxa"/>
            <w:vAlign w:val="center"/>
          </w:tcPr>
          <w:p>
            <w:pPr>
              <w:pStyle w:val="25"/>
              <w:widowControl/>
              <w:rPr>
                <w:rFonts w:ascii="宋体" w:hAnsi="宋体" w:cs="宋体"/>
                <w:sz w:val="18"/>
                <w:szCs w:val="18"/>
              </w:rPr>
            </w:pPr>
            <w:r>
              <w:rPr>
                <w:rFonts w:hint="eastAsia" w:ascii="宋体" w:hAnsi="宋体" w:cs="宋体"/>
                <w:sz w:val="18"/>
                <w:szCs w:val="18"/>
              </w:rPr>
              <w:t>如：</w:t>
            </w:r>
            <w:bookmarkStart w:id="95" w:name="OLE_LINK4"/>
            <w:bookmarkStart w:id="96" w:name="OLE_LINK3"/>
            <w:r>
              <w:rPr>
                <w:rFonts w:hint="eastAsia" w:ascii="宋体" w:hAnsi="宋体" w:cs="宋体"/>
                <w:sz w:val="18"/>
                <w:szCs w:val="18"/>
              </w:rPr>
              <w:t>草酸二甲酯合成催化剂、</w:t>
            </w:r>
            <w:r>
              <w:rPr>
                <w:rFonts w:ascii="宋体" w:hAnsi="宋体" w:cs="宋体"/>
                <w:sz w:val="18"/>
                <w:szCs w:val="18"/>
              </w:rPr>
              <w:t>草酸二甲酯</w:t>
            </w:r>
            <w:r>
              <w:rPr>
                <w:rFonts w:hint="eastAsia" w:ascii="宋体" w:hAnsi="宋体" w:cs="宋体"/>
                <w:sz w:val="18"/>
                <w:szCs w:val="18"/>
              </w:rPr>
              <w:t>加氢催化剂、硝酸还原催化剂、液相加氢催化剂</w:t>
            </w:r>
            <w:bookmarkEnd w:id="95"/>
            <w:bookmarkEnd w:id="96"/>
            <w:r>
              <w:rPr>
                <w:rFonts w:ascii="宋体" w:hAnsi="宋体" w:cs="宋体"/>
                <w:sz w:val="18"/>
                <w:szCs w:val="18"/>
              </w:rPr>
              <w:t>、</w:t>
            </w:r>
            <w:r>
              <w:rPr>
                <w:rFonts w:hint="eastAsia" w:ascii="宋体" w:hAnsi="宋体" w:cs="宋体"/>
                <w:sz w:val="18"/>
                <w:szCs w:val="18"/>
              </w:rPr>
              <w:t>变换催化剂、硝酸、空分分子筛、废气处理催化剂、水处理药剂</w:t>
            </w:r>
            <w:r>
              <w:rPr>
                <w:rFonts w:ascii="宋体" w:hAnsi="宋体" w:cs="宋体"/>
                <w:sz w:val="18"/>
                <w:szCs w:val="18"/>
              </w:rPr>
              <w:t>等</w:t>
            </w:r>
          </w:p>
        </w:tc>
        <w:tc>
          <w:tcPr>
            <w:tcW w:w="1857" w:type="dxa"/>
            <w:vMerge w:val="continue"/>
            <w:vAlign w:val="center"/>
          </w:tcPr>
          <w:p>
            <w:pPr>
              <w:ind w:firstLine="48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Merge w:val="continue"/>
            <w:vAlign w:val="center"/>
          </w:tcPr>
          <w:p>
            <w:pPr>
              <w:ind w:firstLine="480"/>
              <w:jc w:val="center"/>
              <w:rPr>
                <w:rFonts w:ascii="宋体" w:hAnsi="宋体" w:cs="宋体"/>
                <w:kern w:val="0"/>
                <w:sz w:val="18"/>
                <w:szCs w:val="18"/>
              </w:rPr>
            </w:pPr>
          </w:p>
        </w:tc>
        <w:tc>
          <w:tcPr>
            <w:tcW w:w="612" w:type="dxa"/>
            <w:vMerge w:val="continue"/>
            <w:vAlign w:val="center"/>
          </w:tcPr>
          <w:p>
            <w:pPr>
              <w:ind w:firstLine="480"/>
              <w:jc w:val="center"/>
              <w:rPr>
                <w:rFonts w:ascii="宋体" w:hAnsi="宋体" w:cs="宋体"/>
                <w:kern w:val="0"/>
                <w:sz w:val="18"/>
                <w:szCs w:val="18"/>
              </w:rPr>
            </w:pPr>
          </w:p>
        </w:tc>
        <w:tc>
          <w:tcPr>
            <w:tcW w:w="1872" w:type="dxa"/>
            <w:vAlign w:val="center"/>
          </w:tcPr>
          <w:p>
            <w:pPr>
              <w:pStyle w:val="25"/>
              <w:widowControl/>
              <w:jc w:val="center"/>
              <w:rPr>
                <w:rFonts w:ascii="宋体" w:hAnsi="宋体" w:cs="宋体"/>
                <w:sz w:val="18"/>
                <w:szCs w:val="18"/>
              </w:rPr>
            </w:pPr>
            <w:r>
              <w:rPr>
                <w:rFonts w:hint="eastAsia" w:ascii="宋体" w:hAnsi="宋体" w:cs="宋体"/>
                <w:sz w:val="18"/>
                <w:szCs w:val="18"/>
              </w:rPr>
              <w:t>第三方服务</w:t>
            </w:r>
          </w:p>
        </w:tc>
        <w:tc>
          <w:tcPr>
            <w:tcW w:w="5433" w:type="dxa"/>
            <w:vAlign w:val="center"/>
          </w:tcPr>
          <w:p>
            <w:pPr>
              <w:pStyle w:val="25"/>
              <w:widowControl/>
              <w:rPr>
                <w:rFonts w:ascii="宋体" w:hAnsi="宋体" w:cs="宋体"/>
                <w:sz w:val="18"/>
                <w:szCs w:val="18"/>
              </w:rPr>
            </w:pPr>
            <w:r>
              <w:rPr>
                <w:rFonts w:hint="eastAsia" w:ascii="宋体" w:hAnsi="宋体" w:cs="宋体"/>
                <w:sz w:val="18"/>
                <w:szCs w:val="18"/>
              </w:rPr>
              <w:t>现场运输、废渣、废水外委处置等</w:t>
            </w:r>
          </w:p>
        </w:tc>
        <w:tc>
          <w:tcPr>
            <w:tcW w:w="1857" w:type="dxa"/>
            <w:vMerge w:val="continue"/>
            <w:vAlign w:val="center"/>
          </w:tcPr>
          <w:p>
            <w:pPr>
              <w:ind w:firstLine="48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Merge w:val="continue"/>
            <w:vAlign w:val="center"/>
          </w:tcPr>
          <w:p>
            <w:pPr>
              <w:ind w:firstLine="480"/>
              <w:jc w:val="center"/>
              <w:rPr>
                <w:rFonts w:ascii="宋体" w:hAnsi="宋体" w:cs="宋体"/>
                <w:kern w:val="0"/>
                <w:sz w:val="18"/>
                <w:szCs w:val="18"/>
              </w:rPr>
            </w:pPr>
          </w:p>
        </w:tc>
        <w:tc>
          <w:tcPr>
            <w:tcW w:w="612" w:type="dxa"/>
            <w:vMerge w:val="restart"/>
            <w:vAlign w:val="center"/>
          </w:tcPr>
          <w:p>
            <w:pPr>
              <w:pStyle w:val="25"/>
              <w:widowControl/>
              <w:rPr>
                <w:rFonts w:ascii="宋体" w:hAnsi="宋体" w:cs="宋体"/>
                <w:sz w:val="18"/>
                <w:szCs w:val="18"/>
              </w:rPr>
            </w:pPr>
            <w:r>
              <w:rPr>
                <w:rFonts w:hint="eastAsia" w:ascii="宋体" w:hAnsi="宋体" w:cs="宋体"/>
                <w:sz w:val="18"/>
                <w:szCs w:val="18"/>
              </w:rPr>
              <w:t>输出</w:t>
            </w:r>
          </w:p>
          <w:p>
            <w:pPr>
              <w:ind w:firstLine="480"/>
              <w:jc w:val="center"/>
              <w:rPr>
                <w:rFonts w:ascii="宋体" w:hAnsi="宋体" w:cs="宋体"/>
                <w:kern w:val="0"/>
                <w:sz w:val="18"/>
                <w:szCs w:val="18"/>
              </w:rPr>
            </w:pPr>
          </w:p>
        </w:tc>
        <w:tc>
          <w:tcPr>
            <w:tcW w:w="1872" w:type="dxa"/>
            <w:vAlign w:val="center"/>
          </w:tcPr>
          <w:p>
            <w:pPr>
              <w:pStyle w:val="25"/>
              <w:widowControl/>
              <w:jc w:val="center"/>
              <w:rPr>
                <w:rFonts w:ascii="宋体" w:hAnsi="宋体" w:cs="宋体"/>
                <w:sz w:val="18"/>
                <w:szCs w:val="18"/>
              </w:rPr>
            </w:pPr>
            <w:r>
              <w:rPr>
                <w:rFonts w:hint="eastAsia" w:ascii="宋体" w:hAnsi="宋体" w:cs="宋体"/>
                <w:sz w:val="18"/>
                <w:szCs w:val="18"/>
              </w:rPr>
              <w:t>主产品量</w:t>
            </w:r>
          </w:p>
        </w:tc>
        <w:tc>
          <w:tcPr>
            <w:tcW w:w="5433" w:type="dxa"/>
            <w:vAlign w:val="center"/>
          </w:tcPr>
          <w:p>
            <w:pPr>
              <w:pStyle w:val="25"/>
              <w:widowControl/>
              <w:rPr>
                <w:rFonts w:ascii="宋体" w:hAnsi="宋体" w:cs="宋体"/>
                <w:sz w:val="18"/>
                <w:szCs w:val="18"/>
              </w:rPr>
            </w:pPr>
            <w:r>
              <w:rPr>
                <w:rFonts w:hint="eastAsia" w:ascii="宋体" w:hAnsi="宋体" w:cs="宋体"/>
                <w:sz w:val="18"/>
                <w:szCs w:val="18"/>
              </w:rPr>
              <w:t>乙二醇产品产量</w:t>
            </w:r>
          </w:p>
        </w:tc>
        <w:tc>
          <w:tcPr>
            <w:tcW w:w="1857" w:type="dxa"/>
            <w:vMerge w:val="restart"/>
            <w:vAlign w:val="center"/>
          </w:tcPr>
          <w:p>
            <w:pPr>
              <w:pStyle w:val="25"/>
              <w:widowControl/>
              <w:jc w:val="center"/>
              <w:rPr>
                <w:rFonts w:ascii="宋体" w:hAnsi="宋体" w:cs="宋体"/>
                <w:sz w:val="18"/>
                <w:szCs w:val="18"/>
              </w:rPr>
            </w:pPr>
            <w:r>
              <w:rPr>
                <w:rFonts w:hint="eastAsia" w:ascii="宋体" w:hAnsi="宋体" w:cs="宋体"/>
                <w:sz w:val="18"/>
                <w:szCs w:val="18"/>
              </w:rPr>
              <w:t>初级数据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Merge w:val="continue"/>
            <w:vAlign w:val="center"/>
          </w:tcPr>
          <w:p>
            <w:pPr>
              <w:ind w:firstLine="480"/>
              <w:jc w:val="center"/>
              <w:rPr>
                <w:rFonts w:ascii="宋体" w:hAnsi="宋体" w:cs="宋体"/>
                <w:kern w:val="0"/>
                <w:sz w:val="18"/>
                <w:szCs w:val="18"/>
              </w:rPr>
            </w:pPr>
          </w:p>
        </w:tc>
        <w:tc>
          <w:tcPr>
            <w:tcW w:w="612" w:type="dxa"/>
            <w:vMerge w:val="continue"/>
            <w:vAlign w:val="center"/>
          </w:tcPr>
          <w:p>
            <w:pPr>
              <w:ind w:firstLine="480"/>
              <w:jc w:val="center"/>
              <w:rPr>
                <w:rFonts w:ascii="宋体" w:hAnsi="宋体" w:cs="宋体"/>
                <w:kern w:val="0"/>
                <w:sz w:val="18"/>
                <w:szCs w:val="18"/>
              </w:rPr>
            </w:pPr>
          </w:p>
        </w:tc>
        <w:tc>
          <w:tcPr>
            <w:tcW w:w="1872" w:type="dxa"/>
            <w:vAlign w:val="center"/>
          </w:tcPr>
          <w:p>
            <w:pPr>
              <w:pStyle w:val="25"/>
              <w:widowControl/>
              <w:jc w:val="center"/>
              <w:rPr>
                <w:rFonts w:ascii="宋体" w:hAnsi="宋体" w:cs="宋体"/>
                <w:sz w:val="18"/>
                <w:szCs w:val="18"/>
              </w:rPr>
            </w:pPr>
            <w:r>
              <w:rPr>
                <w:rFonts w:hint="eastAsia" w:ascii="宋体" w:hAnsi="宋体" w:cs="宋体"/>
                <w:sz w:val="18"/>
                <w:szCs w:val="18"/>
              </w:rPr>
              <w:t>废弃物</w:t>
            </w:r>
          </w:p>
        </w:tc>
        <w:tc>
          <w:tcPr>
            <w:tcW w:w="5433" w:type="dxa"/>
            <w:vAlign w:val="center"/>
          </w:tcPr>
          <w:p>
            <w:pPr>
              <w:pStyle w:val="25"/>
              <w:widowControl/>
              <w:rPr>
                <w:rFonts w:ascii="宋体" w:hAnsi="宋体" w:cs="宋体"/>
                <w:sz w:val="18"/>
                <w:szCs w:val="18"/>
              </w:rPr>
            </w:pPr>
            <w:r>
              <w:rPr>
                <w:rFonts w:hint="eastAsia" w:ascii="宋体" w:hAnsi="宋体" w:cs="宋体"/>
                <w:sz w:val="18"/>
                <w:szCs w:val="18"/>
              </w:rPr>
              <w:t>废水</w:t>
            </w:r>
            <w:r>
              <w:rPr>
                <w:rFonts w:ascii="宋体" w:hAnsi="宋体" w:cs="宋体"/>
                <w:sz w:val="18"/>
                <w:szCs w:val="18"/>
              </w:rPr>
              <w:t>、废气、</w:t>
            </w:r>
            <w:r>
              <w:rPr>
                <w:rFonts w:hint="eastAsia" w:ascii="宋体" w:hAnsi="宋体" w:cs="宋体"/>
                <w:sz w:val="18"/>
                <w:szCs w:val="18"/>
              </w:rPr>
              <w:t>废渣等</w:t>
            </w:r>
          </w:p>
        </w:tc>
        <w:tc>
          <w:tcPr>
            <w:tcW w:w="1857" w:type="dxa"/>
            <w:vMerge w:val="continue"/>
            <w:vAlign w:val="center"/>
          </w:tcPr>
          <w:p>
            <w:pPr>
              <w:ind w:firstLine="48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Merge w:val="continue"/>
            <w:vAlign w:val="center"/>
          </w:tcPr>
          <w:p>
            <w:pPr>
              <w:ind w:firstLine="480"/>
              <w:jc w:val="center"/>
              <w:rPr>
                <w:rFonts w:ascii="宋体" w:hAnsi="宋体" w:cs="宋体"/>
                <w:kern w:val="0"/>
                <w:sz w:val="18"/>
                <w:szCs w:val="18"/>
              </w:rPr>
            </w:pPr>
          </w:p>
        </w:tc>
        <w:tc>
          <w:tcPr>
            <w:tcW w:w="612" w:type="dxa"/>
            <w:vMerge w:val="continue"/>
            <w:vAlign w:val="center"/>
          </w:tcPr>
          <w:p>
            <w:pPr>
              <w:ind w:firstLine="480"/>
              <w:jc w:val="center"/>
              <w:rPr>
                <w:rFonts w:ascii="宋体" w:hAnsi="宋体" w:cs="宋体"/>
                <w:kern w:val="0"/>
                <w:sz w:val="18"/>
                <w:szCs w:val="18"/>
              </w:rPr>
            </w:pPr>
          </w:p>
        </w:tc>
        <w:tc>
          <w:tcPr>
            <w:tcW w:w="1872" w:type="dxa"/>
            <w:vAlign w:val="center"/>
          </w:tcPr>
          <w:p>
            <w:pPr>
              <w:pStyle w:val="25"/>
              <w:widowControl/>
              <w:jc w:val="center"/>
              <w:rPr>
                <w:rFonts w:ascii="宋体" w:hAnsi="宋体" w:cs="宋体"/>
                <w:sz w:val="18"/>
                <w:szCs w:val="18"/>
              </w:rPr>
            </w:pPr>
            <w:r>
              <w:rPr>
                <w:rFonts w:hint="eastAsia" w:ascii="宋体" w:hAnsi="宋体" w:cs="宋体"/>
                <w:sz w:val="18"/>
                <w:szCs w:val="18"/>
              </w:rPr>
              <w:t>温室气体直接排放</w:t>
            </w:r>
          </w:p>
        </w:tc>
        <w:tc>
          <w:tcPr>
            <w:tcW w:w="5433" w:type="dxa"/>
            <w:vAlign w:val="center"/>
          </w:tcPr>
          <w:p>
            <w:pPr>
              <w:pStyle w:val="25"/>
              <w:widowControl/>
              <w:rPr>
                <w:rFonts w:ascii="宋体" w:hAnsi="宋体" w:cs="宋体"/>
                <w:sz w:val="18"/>
                <w:szCs w:val="18"/>
              </w:rPr>
            </w:pPr>
            <w:r>
              <w:rPr>
                <w:rFonts w:hint="eastAsia" w:ascii="宋体" w:hAnsi="宋体" w:cs="宋体"/>
                <w:sz w:val="18"/>
                <w:szCs w:val="18"/>
              </w:rPr>
              <w:t>通过直接监测、化学计量、质量平衡或类似方法获得某一过程的温室气体排放量</w:t>
            </w:r>
          </w:p>
        </w:tc>
        <w:tc>
          <w:tcPr>
            <w:tcW w:w="1857" w:type="dxa"/>
            <w:vMerge w:val="continue"/>
            <w:vAlign w:val="center"/>
          </w:tcPr>
          <w:p>
            <w:pPr>
              <w:ind w:firstLine="48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gridSpan w:val="2"/>
            <w:vAlign w:val="center"/>
          </w:tcPr>
          <w:p>
            <w:pPr>
              <w:pStyle w:val="25"/>
              <w:widowControl/>
              <w:jc w:val="center"/>
              <w:rPr>
                <w:rFonts w:ascii="宋体" w:hAnsi="宋体" w:cs="宋体"/>
                <w:sz w:val="18"/>
                <w:szCs w:val="18"/>
              </w:rPr>
            </w:pPr>
            <w:r>
              <w:rPr>
                <w:rFonts w:hint="eastAsia" w:ascii="宋体" w:hAnsi="宋体" w:cs="宋体"/>
                <w:sz w:val="18"/>
                <w:szCs w:val="18"/>
              </w:rPr>
              <w:t>背景数据</w:t>
            </w:r>
          </w:p>
        </w:tc>
        <w:tc>
          <w:tcPr>
            <w:tcW w:w="1872" w:type="dxa"/>
            <w:vAlign w:val="center"/>
          </w:tcPr>
          <w:p>
            <w:pPr>
              <w:pStyle w:val="25"/>
              <w:widowControl/>
              <w:jc w:val="center"/>
              <w:rPr>
                <w:rFonts w:ascii="宋体" w:hAnsi="宋体" w:cs="宋体"/>
                <w:sz w:val="18"/>
                <w:szCs w:val="18"/>
              </w:rPr>
            </w:pPr>
            <w:r>
              <w:rPr>
                <w:rFonts w:hint="eastAsia" w:ascii="宋体" w:hAnsi="宋体" w:cs="宋体"/>
                <w:sz w:val="18"/>
                <w:szCs w:val="18"/>
              </w:rPr>
              <w:t>电力/热力</w:t>
            </w:r>
          </w:p>
        </w:tc>
        <w:tc>
          <w:tcPr>
            <w:tcW w:w="5433" w:type="dxa"/>
            <w:vAlign w:val="center"/>
          </w:tcPr>
          <w:p>
            <w:pPr>
              <w:pStyle w:val="25"/>
              <w:widowControl/>
              <w:numPr>
                <w:ilvl w:val="0"/>
                <w:numId w:val="43"/>
              </w:numPr>
              <w:ind w:left="851" w:hanging="426"/>
              <w:rPr>
                <w:rFonts w:ascii="宋体" w:hAnsi="宋体" w:cs="宋体"/>
                <w:sz w:val="18"/>
                <w:szCs w:val="18"/>
              </w:rPr>
            </w:pPr>
            <w:r>
              <w:rPr>
                <w:rFonts w:hint="eastAsia" w:ascii="宋体" w:hAnsi="宋体" w:cs="宋体"/>
                <w:sz w:val="18"/>
                <w:szCs w:val="18"/>
              </w:rPr>
              <w:t>供应商提供的生命周期排放数据；</w:t>
            </w:r>
          </w:p>
          <w:p>
            <w:pPr>
              <w:pStyle w:val="25"/>
              <w:widowControl/>
              <w:numPr>
                <w:ilvl w:val="0"/>
                <w:numId w:val="43"/>
              </w:numPr>
              <w:ind w:left="851" w:hanging="426"/>
              <w:rPr>
                <w:rFonts w:ascii="宋体" w:hAnsi="宋体" w:cs="宋体"/>
                <w:sz w:val="18"/>
                <w:szCs w:val="18"/>
              </w:rPr>
            </w:pPr>
            <w:r>
              <w:rPr>
                <w:rFonts w:hint="eastAsia" w:ascii="宋体" w:hAnsi="宋体" w:cs="宋体"/>
                <w:sz w:val="18"/>
                <w:szCs w:val="18"/>
              </w:rPr>
              <w:t>电力/热力的能源结构、输配电损失、燃料消耗量、燃料上游排放等参数。</w:t>
            </w:r>
          </w:p>
        </w:tc>
        <w:tc>
          <w:tcPr>
            <w:tcW w:w="1857" w:type="dxa"/>
            <w:vAlign w:val="center"/>
          </w:tcPr>
          <w:p>
            <w:pPr>
              <w:pStyle w:val="25"/>
              <w:widowControl/>
              <w:jc w:val="center"/>
              <w:rPr>
                <w:rFonts w:ascii="宋体" w:hAnsi="宋体" w:cs="宋体"/>
                <w:sz w:val="18"/>
                <w:szCs w:val="18"/>
              </w:rPr>
            </w:pPr>
            <w:r>
              <w:rPr>
                <w:rFonts w:hint="eastAsia" w:ascii="宋体" w:hAnsi="宋体" w:cs="宋体"/>
                <w:sz w:val="18"/>
                <w:szCs w:val="18"/>
              </w:rPr>
              <w:t>初级数据或次级数据</w:t>
            </w:r>
          </w:p>
        </w:tc>
      </w:tr>
    </w:tbl>
    <w:p>
      <w:pPr>
        <w:pStyle w:val="58"/>
        <w:ind w:firstLine="420"/>
      </w:pPr>
    </w:p>
    <w:p>
      <w:pPr>
        <w:pStyle w:val="107"/>
        <w:spacing w:before="120" w:after="120"/>
      </w:pPr>
      <w:r>
        <w:rPr>
          <w:rFonts w:hint="eastAsia"/>
        </w:rPr>
        <w:t>数据收集期间</w:t>
      </w:r>
    </w:p>
    <w:p>
      <w:pPr>
        <w:pStyle w:val="58"/>
        <w:ind w:firstLine="420"/>
      </w:pPr>
      <w:r>
        <w:rPr>
          <w:rFonts w:hint="eastAsia"/>
        </w:rPr>
        <w:t>一般情况下，初级数据的收集时间为数据盘查前的最近一年。生产期间未达一年者，以连续稳定生产不少于3个月的生产期间为基础，同时应考虑该数据的代表性与准确性。</w:t>
      </w:r>
    </w:p>
    <w:p>
      <w:pPr>
        <w:pStyle w:val="107"/>
        <w:spacing w:before="120" w:after="120"/>
      </w:pPr>
      <w:bookmarkStart w:id="97" w:name="_Toc163464942"/>
      <w:bookmarkStart w:id="98" w:name="_Toc156834042"/>
      <w:bookmarkStart w:id="99" w:name="_Toc156981414"/>
      <w:bookmarkStart w:id="100" w:name="_Toc172019155"/>
      <w:bookmarkStart w:id="101" w:name="_Toc173226273"/>
      <w:bookmarkStart w:id="102" w:name="_Toc171517897"/>
      <w:bookmarkStart w:id="103" w:name="_Toc169273028"/>
      <w:bookmarkStart w:id="104" w:name="_Toc163639296"/>
      <w:r>
        <w:rPr>
          <w:rFonts w:hint="eastAsia"/>
        </w:rPr>
        <w:t>数据</w:t>
      </w:r>
      <w:r>
        <w:t>质量要求</w:t>
      </w:r>
      <w:bookmarkEnd w:id="97"/>
      <w:bookmarkEnd w:id="98"/>
      <w:bookmarkEnd w:id="99"/>
      <w:bookmarkEnd w:id="100"/>
      <w:bookmarkEnd w:id="101"/>
      <w:bookmarkEnd w:id="102"/>
      <w:bookmarkEnd w:id="103"/>
      <w:bookmarkEnd w:id="104"/>
    </w:p>
    <w:p>
      <w:pPr>
        <w:pStyle w:val="167"/>
      </w:pPr>
      <w:r>
        <w:rPr>
          <w:rFonts w:hint="eastAsia"/>
        </w:rPr>
        <w:t>数据质量评估：在</w:t>
      </w:r>
      <w:r>
        <w:t>确定产品碳足迹</w:t>
      </w:r>
      <w:r>
        <w:rPr>
          <w:rFonts w:hint="eastAsia"/>
        </w:rPr>
        <w:t>量化所使用的</w:t>
      </w:r>
      <w:r>
        <w:t>初级数据</w:t>
      </w:r>
      <w:r>
        <w:rPr>
          <w:rFonts w:hint="eastAsia"/>
        </w:rPr>
        <w:t>和次级</w:t>
      </w:r>
      <w:r>
        <w:t>数据</w:t>
      </w:r>
      <w:r>
        <w:rPr>
          <w:rFonts w:hint="eastAsia"/>
        </w:rPr>
        <w:t>时</w:t>
      </w:r>
      <w:r>
        <w:t>，</w:t>
      </w:r>
      <w:r>
        <w:rPr>
          <w:rFonts w:hint="eastAsia"/>
        </w:rPr>
        <w:t>都需要通过DQR（</w:t>
      </w:r>
      <w:r>
        <w:rPr>
          <w:rFonts w:hint="eastAsia" w:hAnsi="宋体"/>
          <w:szCs w:val="21"/>
        </w:rPr>
        <w:t>数据</w:t>
      </w:r>
      <w:r>
        <w:rPr>
          <w:rFonts w:hAnsi="宋体"/>
          <w:szCs w:val="21"/>
        </w:rPr>
        <w:t>质量评级</w:t>
      </w:r>
      <w:r>
        <w:rPr>
          <w:rFonts w:hint="eastAsia" w:hAnsi="宋体"/>
          <w:szCs w:val="21"/>
        </w:rPr>
        <w:t>Data Qualiyt Rating</w:t>
      </w:r>
      <w:r>
        <w:rPr>
          <w:rFonts w:hint="eastAsia"/>
        </w:rPr>
        <w:t>）多维度评估数据质量，具体评估方法见附录</w:t>
      </w:r>
      <w:r>
        <w:t>E</w:t>
      </w:r>
      <w:r>
        <w:rPr>
          <w:rFonts w:hint="eastAsia"/>
        </w:rPr>
        <w:t>；</w:t>
      </w:r>
    </w:p>
    <w:p>
      <w:pPr>
        <w:pStyle w:val="167"/>
      </w:pPr>
      <w:r>
        <w:rPr>
          <w:rFonts w:hint="eastAsia"/>
        </w:rPr>
        <w:t>数据应具有代表性，包括数据获取时间的代表性、技术的代表性、地理位置的代表性；</w:t>
      </w:r>
    </w:p>
    <w:p>
      <w:pPr>
        <w:pStyle w:val="167"/>
      </w:pPr>
      <w:r>
        <w:rPr>
          <w:rFonts w:hint="eastAsia"/>
        </w:rPr>
        <w:t>覆盖范围</w:t>
      </w:r>
      <w:r>
        <w:t>：</w:t>
      </w:r>
      <w:r>
        <w:rPr>
          <w:rFonts w:hint="eastAsia"/>
        </w:rPr>
        <w:t>数据的</w:t>
      </w:r>
      <w:r>
        <w:t>覆盖范围</w:t>
      </w:r>
      <w:r>
        <w:rPr>
          <w:rFonts w:hint="eastAsia"/>
        </w:rPr>
        <w:t>与产品系统</w:t>
      </w:r>
      <w:r>
        <w:t>边界</w:t>
      </w:r>
      <w:r>
        <w:rPr>
          <w:rFonts w:hint="eastAsia"/>
        </w:rPr>
        <w:t>保持</w:t>
      </w:r>
      <w:r>
        <w:t>一致，</w:t>
      </w:r>
      <w:r>
        <w:rPr>
          <w:rFonts w:hint="eastAsia"/>
        </w:rPr>
        <w:t>且</w:t>
      </w:r>
      <w:r>
        <w:t>能够</w:t>
      </w:r>
      <w:r>
        <w:rPr>
          <w:rFonts w:hint="eastAsia"/>
        </w:rPr>
        <w:t>满足产品碳足迹量化</w:t>
      </w:r>
      <w:r>
        <w:t>的</w:t>
      </w:r>
      <w:r>
        <w:rPr>
          <w:rFonts w:hint="eastAsia"/>
        </w:rPr>
        <w:t>需要</w:t>
      </w:r>
      <w:r>
        <w:t>；</w:t>
      </w:r>
    </w:p>
    <w:p>
      <w:pPr>
        <w:pStyle w:val="167"/>
      </w:pPr>
      <w:r>
        <w:rPr>
          <w:rFonts w:hint="eastAsia"/>
        </w:rPr>
        <w:t>来源</w:t>
      </w:r>
      <w:r>
        <w:t>：</w:t>
      </w:r>
      <w:r>
        <w:rPr>
          <w:rFonts w:hint="eastAsia"/>
        </w:rPr>
        <w:t>当初级数据易于获取</w:t>
      </w:r>
      <w:r>
        <w:t>时，</w:t>
      </w:r>
      <w:r>
        <w:rPr>
          <w:rFonts w:hint="eastAsia"/>
        </w:rPr>
        <w:t>产品</w:t>
      </w:r>
      <w:r>
        <w:t>碳足迹</w:t>
      </w:r>
      <w:r>
        <w:rPr>
          <w:rFonts w:hint="eastAsia"/>
        </w:rPr>
        <w:t>的</w:t>
      </w:r>
      <w:r>
        <w:t>量化</w:t>
      </w:r>
      <w:r>
        <w:rPr>
          <w:rFonts w:hint="eastAsia"/>
        </w:rPr>
        <w:t>应优先使用初级</w:t>
      </w:r>
      <w:r>
        <w:t>数据</w:t>
      </w:r>
      <w:r>
        <w:rPr>
          <w:rFonts w:hint="eastAsia"/>
        </w:rPr>
        <w:t>；用于产品</w:t>
      </w:r>
      <w:r>
        <w:t>碳足迹</w:t>
      </w:r>
      <w:r>
        <w:rPr>
          <w:rFonts w:hint="eastAsia"/>
        </w:rPr>
        <w:t>量化</w:t>
      </w:r>
      <w:r>
        <w:t>的所有</w:t>
      </w:r>
      <w:r>
        <w:rPr>
          <w:rFonts w:hint="eastAsia"/>
        </w:rPr>
        <w:t>数据，</w:t>
      </w:r>
      <w:r>
        <w:t>其获得</w:t>
      </w:r>
      <w:r>
        <w:rPr>
          <w:rFonts w:hint="eastAsia"/>
        </w:rPr>
        <w:t>方式和</w:t>
      </w:r>
      <w:r>
        <w:t>来源</w:t>
      </w:r>
      <w:r>
        <w:rPr>
          <w:rFonts w:hint="eastAsia"/>
        </w:rPr>
        <w:t>均应予以</w:t>
      </w:r>
      <w:r>
        <w:t>说明</w:t>
      </w:r>
      <w:r>
        <w:rPr>
          <w:rFonts w:hint="eastAsia"/>
        </w:rPr>
        <w:t>。</w:t>
      </w:r>
    </w:p>
    <w:p>
      <w:pPr>
        <w:pStyle w:val="107"/>
        <w:spacing w:before="120" w:after="120"/>
      </w:pPr>
      <w:bookmarkStart w:id="105" w:name="_Toc173226274"/>
      <w:r>
        <w:rPr>
          <w:rFonts w:hint="eastAsia"/>
        </w:rPr>
        <w:t>数据收集</w:t>
      </w:r>
      <w:bookmarkEnd w:id="105"/>
    </w:p>
    <w:p>
      <w:pPr>
        <w:pStyle w:val="67"/>
        <w:spacing w:before="120" w:after="120"/>
      </w:pPr>
      <w:r>
        <w:rPr>
          <w:rFonts w:hint="eastAsia"/>
        </w:rPr>
        <w:t>数据收集规则</w:t>
      </w:r>
    </w:p>
    <w:p>
      <w:pPr>
        <w:pStyle w:val="58"/>
        <w:ind w:firstLine="420"/>
      </w:pPr>
      <w:r>
        <w:rPr>
          <w:rFonts w:hint="eastAsia"/>
        </w:rPr>
        <w:t>煤制乙二醇产品</w:t>
      </w:r>
      <w:r>
        <w:t>数据</w:t>
      </w:r>
      <w:r>
        <w:rPr>
          <w:rFonts w:hint="eastAsia"/>
        </w:rPr>
        <w:t>收集宜遵循以下规则：</w:t>
      </w:r>
    </w:p>
    <w:p>
      <w:pPr>
        <w:pStyle w:val="176"/>
        <w:numPr>
          <w:ilvl w:val="0"/>
          <w:numId w:val="44"/>
        </w:numPr>
      </w:pPr>
      <w:r>
        <w:rPr>
          <w:rFonts w:hint="eastAsia"/>
        </w:rPr>
        <w:t>数据收集应选择质量较高的数据进行采集，数据质量依次递减的顺序分为下列</w:t>
      </w:r>
      <w:r>
        <w:t>3</w:t>
      </w:r>
      <w:r>
        <w:rPr>
          <w:rFonts w:hint="eastAsia"/>
        </w:rPr>
        <w:t>类：</w:t>
      </w:r>
    </w:p>
    <w:p>
      <w:pPr>
        <w:pStyle w:val="111"/>
        <w:tabs>
          <w:tab w:val="left" w:pos="851"/>
        </w:tabs>
      </w:pPr>
      <w:r>
        <w:rPr>
          <w:rFonts w:hint="eastAsia"/>
        </w:rPr>
        <w:t>实际量测值、计算值；</w:t>
      </w:r>
    </w:p>
    <w:p>
      <w:pPr>
        <w:pStyle w:val="111"/>
        <w:tabs>
          <w:tab w:val="left" w:pos="851"/>
        </w:tabs>
      </w:pPr>
      <w:r>
        <w:rPr>
          <w:rFonts w:hint="eastAsia"/>
        </w:rPr>
        <w:t>相同工艺／设备的经验排放数据；</w:t>
      </w:r>
    </w:p>
    <w:p>
      <w:pPr>
        <w:pStyle w:val="111"/>
        <w:tabs>
          <w:tab w:val="left" w:pos="851"/>
        </w:tabs>
      </w:pPr>
      <w:r>
        <w:rPr>
          <w:rFonts w:hint="eastAsia"/>
        </w:rPr>
        <w:t>相关文献、行业内专家经验的估算值；</w:t>
      </w:r>
    </w:p>
    <w:p>
      <w:pPr>
        <w:pStyle w:val="176"/>
        <w:numPr>
          <w:ilvl w:val="0"/>
          <w:numId w:val="38"/>
        </w:numPr>
      </w:pPr>
      <w:r>
        <w:rPr>
          <w:rFonts w:hint="eastAsia"/>
        </w:rPr>
        <w:t>宜以一个自然年为数据收集周期；</w:t>
      </w:r>
    </w:p>
    <w:p>
      <w:pPr>
        <w:pStyle w:val="176"/>
        <w:numPr>
          <w:ilvl w:val="0"/>
          <w:numId w:val="38"/>
        </w:numPr>
      </w:pPr>
      <w:r>
        <w:rPr>
          <w:rFonts w:hint="eastAsia"/>
        </w:rPr>
        <w:t>数据来源应清晰及透明；</w:t>
      </w:r>
    </w:p>
    <w:p>
      <w:pPr>
        <w:pStyle w:val="176"/>
        <w:numPr>
          <w:ilvl w:val="0"/>
          <w:numId w:val="38"/>
        </w:numPr>
      </w:pPr>
      <w:r>
        <w:rPr>
          <w:rFonts w:hint="eastAsia"/>
        </w:rPr>
        <w:t>初级数据的主要来源：</w:t>
      </w:r>
    </w:p>
    <w:p>
      <w:pPr>
        <w:pStyle w:val="111"/>
        <w:numPr>
          <w:ilvl w:val="1"/>
          <w:numId w:val="38"/>
        </w:numPr>
        <w:tabs>
          <w:tab w:val="left" w:pos="851"/>
        </w:tabs>
      </w:pPr>
      <w:r>
        <w:rPr>
          <w:rFonts w:hint="eastAsia"/>
        </w:rPr>
        <w:t>直接监测或记录；</w:t>
      </w:r>
    </w:p>
    <w:p>
      <w:pPr>
        <w:pStyle w:val="111"/>
        <w:numPr>
          <w:ilvl w:val="1"/>
          <w:numId w:val="38"/>
        </w:numPr>
        <w:tabs>
          <w:tab w:val="left" w:pos="851"/>
        </w:tabs>
      </w:pPr>
      <w:r>
        <w:rPr>
          <w:rFonts w:hint="eastAsia"/>
        </w:rPr>
        <w:t>基于标准产品进行分配；</w:t>
      </w:r>
    </w:p>
    <w:p>
      <w:pPr>
        <w:pStyle w:val="111"/>
        <w:numPr>
          <w:ilvl w:val="1"/>
          <w:numId w:val="38"/>
        </w:numPr>
        <w:tabs>
          <w:tab w:val="left" w:pos="851"/>
        </w:tabs>
      </w:pPr>
      <w:r>
        <w:rPr>
          <w:rFonts w:hint="eastAsia"/>
        </w:rPr>
        <w:t>第三方机构检测结果。</w:t>
      </w:r>
    </w:p>
    <w:p>
      <w:pPr>
        <w:pStyle w:val="176"/>
        <w:numPr>
          <w:ilvl w:val="0"/>
          <w:numId w:val="38"/>
        </w:numPr>
      </w:pPr>
      <w:r>
        <w:rPr>
          <w:rFonts w:hint="eastAsia"/>
        </w:rPr>
        <w:t>次级数据的主要来源：</w:t>
      </w:r>
    </w:p>
    <w:p>
      <w:pPr>
        <w:pStyle w:val="111"/>
        <w:numPr>
          <w:ilvl w:val="1"/>
          <w:numId w:val="38"/>
        </w:numPr>
        <w:tabs>
          <w:tab w:val="left" w:pos="851"/>
        </w:tabs>
      </w:pPr>
      <w:r>
        <w:rPr>
          <w:rFonts w:hint="eastAsia"/>
        </w:rPr>
        <w:t>由供应商提供的且经过第三方机构核证的产品碳排放计算数据；</w:t>
      </w:r>
    </w:p>
    <w:p>
      <w:pPr>
        <w:pStyle w:val="111"/>
        <w:numPr>
          <w:ilvl w:val="1"/>
          <w:numId w:val="38"/>
        </w:numPr>
        <w:tabs>
          <w:tab w:val="left" w:pos="851"/>
        </w:tabs>
      </w:pPr>
      <w:r>
        <w:rPr>
          <w:rFonts w:hint="eastAsia"/>
        </w:rPr>
        <w:t>正式公开的产品生命周期温室气体排放数据；</w:t>
      </w:r>
    </w:p>
    <w:p>
      <w:pPr>
        <w:pStyle w:val="111"/>
        <w:numPr>
          <w:ilvl w:val="1"/>
          <w:numId w:val="38"/>
        </w:numPr>
        <w:tabs>
          <w:tab w:val="left" w:pos="851"/>
        </w:tabs>
      </w:pPr>
      <w:r>
        <w:rPr>
          <w:rFonts w:hint="eastAsia"/>
        </w:rPr>
        <w:t>生命周期评价软件资料库。</w:t>
      </w:r>
    </w:p>
    <w:p>
      <w:pPr>
        <w:pStyle w:val="67"/>
        <w:spacing w:before="120" w:after="120"/>
      </w:pPr>
      <w:r>
        <w:rPr>
          <w:rFonts w:hint="eastAsia"/>
        </w:rPr>
        <w:t>数据收集</w:t>
      </w:r>
      <w:r>
        <w:t>步骤</w:t>
      </w:r>
    </w:p>
    <w:p>
      <w:pPr>
        <w:pStyle w:val="58"/>
        <w:ind w:firstLine="420"/>
      </w:pPr>
      <w:r>
        <w:rPr>
          <w:rFonts w:hint="eastAsia"/>
        </w:rPr>
        <w:t>煤制乙二醇产品</w:t>
      </w:r>
      <w:r>
        <w:t>数据</w:t>
      </w:r>
      <w:r>
        <w:rPr>
          <w:rFonts w:hint="eastAsia"/>
        </w:rPr>
        <w:t>收集和数据质量评估宜遵循以下步骤：</w:t>
      </w:r>
    </w:p>
    <w:p>
      <w:pPr>
        <w:pStyle w:val="176"/>
        <w:numPr>
          <w:ilvl w:val="0"/>
          <w:numId w:val="13"/>
        </w:numPr>
      </w:pPr>
      <w:r>
        <w:rPr>
          <w:rFonts w:hint="eastAsia"/>
        </w:rPr>
        <w:t>制定数据管理计划并建立数据清单完成收集的</w:t>
      </w:r>
      <w:r>
        <w:t>数据</w:t>
      </w:r>
      <w:r>
        <w:rPr>
          <w:rFonts w:hint="eastAsia"/>
        </w:rPr>
        <w:t>和</w:t>
      </w:r>
      <w:r>
        <w:t>评估</w:t>
      </w:r>
      <w:r>
        <w:rPr>
          <w:rFonts w:hint="eastAsia"/>
        </w:rPr>
        <w:t>过程</w:t>
      </w:r>
      <w:r>
        <w:t>；</w:t>
      </w:r>
    </w:p>
    <w:p>
      <w:pPr>
        <w:pStyle w:val="176"/>
        <w:numPr>
          <w:ilvl w:val="0"/>
          <w:numId w:val="13"/>
        </w:numPr>
      </w:pPr>
      <w:r>
        <w:rPr>
          <w:rFonts w:hint="eastAsia"/>
        </w:rPr>
        <w:t>使用产品</w:t>
      </w:r>
      <w:r>
        <w:t>生命周期</w:t>
      </w:r>
      <w:r>
        <w:rPr>
          <w:rFonts w:hint="eastAsia"/>
        </w:rPr>
        <w:t>流程图，</w:t>
      </w:r>
      <w:r>
        <w:t>确定</w:t>
      </w:r>
      <w:r>
        <w:rPr>
          <w:rFonts w:hint="eastAsia"/>
        </w:rPr>
        <w:t>有</w:t>
      </w:r>
      <w:r>
        <w:t>需求</w:t>
      </w:r>
      <w:r>
        <w:rPr>
          <w:rFonts w:hint="eastAsia"/>
        </w:rPr>
        <w:t>的</w:t>
      </w:r>
      <w:r>
        <w:t>数据</w:t>
      </w:r>
      <w:r>
        <w:rPr>
          <w:rFonts w:hint="eastAsia"/>
        </w:rPr>
        <w:t>，</w:t>
      </w:r>
      <w:r>
        <w:t>并</w:t>
      </w:r>
      <w:r>
        <w:rPr>
          <w:rFonts w:hint="eastAsia"/>
        </w:rPr>
        <w:t>开展过程审查，</w:t>
      </w:r>
      <w:r>
        <w:t>以便</w:t>
      </w:r>
      <w:r>
        <w:rPr>
          <w:rFonts w:hint="eastAsia"/>
        </w:rPr>
        <w:t>集中数据收集工作</w:t>
      </w:r>
      <w:r>
        <w:t>；</w:t>
      </w:r>
    </w:p>
    <w:p>
      <w:pPr>
        <w:pStyle w:val="176"/>
        <w:numPr>
          <w:ilvl w:val="0"/>
          <w:numId w:val="13"/>
        </w:numPr>
      </w:pPr>
      <w:r>
        <w:rPr>
          <w:rFonts w:hint="eastAsia"/>
        </w:rPr>
        <w:t>对于直接管控下的过程，搜集初级数据</w:t>
      </w:r>
      <w:r>
        <w:t>；</w:t>
      </w:r>
    </w:p>
    <w:p>
      <w:pPr>
        <w:pStyle w:val="176"/>
        <w:numPr>
          <w:ilvl w:val="0"/>
          <w:numId w:val="13"/>
        </w:numPr>
      </w:pPr>
      <w:r>
        <w:rPr>
          <w:rFonts w:hint="eastAsia"/>
        </w:rPr>
        <w:t>对于</w:t>
      </w:r>
      <w:r>
        <w:t>其他</w:t>
      </w:r>
      <w:r>
        <w:rPr>
          <w:rFonts w:hint="eastAsia"/>
        </w:rPr>
        <w:t>过程，</w:t>
      </w:r>
      <w:r>
        <w:t>收集</w:t>
      </w:r>
      <w:r>
        <w:rPr>
          <w:rFonts w:hint="eastAsia"/>
        </w:rPr>
        <w:t>初级数据或</w:t>
      </w:r>
      <w:r>
        <w:t>次级</w:t>
      </w:r>
      <w:r>
        <w:rPr>
          <w:rFonts w:hint="eastAsia"/>
        </w:rPr>
        <w:t>数据</w:t>
      </w:r>
      <w:r>
        <w:t>，</w:t>
      </w:r>
      <w:r>
        <w:rPr>
          <w:rFonts w:hint="eastAsia"/>
        </w:rPr>
        <w:t>并</w:t>
      </w:r>
      <w:r>
        <w:t>评估</w:t>
      </w:r>
      <w:r>
        <w:rPr>
          <w:rFonts w:hint="eastAsia"/>
        </w:rPr>
        <w:t>直接</w:t>
      </w:r>
      <w:r>
        <w:t>排放数据</w:t>
      </w:r>
      <w:r>
        <w:rPr>
          <w:rFonts w:hint="eastAsia"/>
        </w:rPr>
        <w:t>、</w:t>
      </w:r>
      <w:r>
        <w:t>能源</w:t>
      </w:r>
      <w:r>
        <w:rPr>
          <w:rFonts w:hint="eastAsia"/>
        </w:rPr>
        <w:t>或</w:t>
      </w:r>
      <w:r>
        <w:t>材料</w:t>
      </w:r>
      <w:r>
        <w:rPr>
          <w:rFonts w:hint="eastAsia"/>
        </w:rPr>
        <w:t>使用数据</w:t>
      </w:r>
      <w:r>
        <w:t>、</w:t>
      </w:r>
      <w:r>
        <w:rPr>
          <w:rFonts w:hint="eastAsia" w:hAnsi="宋体" w:cs="宋体"/>
        </w:rPr>
        <w:t>温室气体</w:t>
      </w:r>
      <w:r>
        <w:rPr>
          <w:rFonts w:hint="eastAsia"/>
        </w:rPr>
        <w:t>排放</w:t>
      </w:r>
      <w:r>
        <w:t>因子</w:t>
      </w:r>
      <w:r>
        <w:rPr>
          <w:rFonts w:hint="eastAsia"/>
        </w:rPr>
        <w:t>等</w:t>
      </w:r>
      <w:r>
        <w:t>的</w:t>
      </w:r>
      <w:r>
        <w:rPr>
          <w:rFonts w:hint="eastAsia"/>
        </w:rPr>
        <w:t>数据</w:t>
      </w:r>
      <w:r>
        <w:t>质量</w:t>
      </w:r>
      <w:r>
        <w:rPr>
          <w:rFonts w:hint="eastAsia"/>
        </w:rPr>
        <w:t>；</w:t>
      </w:r>
    </w:p>
    <w:p>
      <w:pPr>
        <w:pStyle w:val="176"/>
        <w:numPr>
          <w:ilvl w:val="0"/>
          <w:numId w:val="13"/>
        </w:numPr>
      </w:pPr>
      <w:r>
        <w:rPr>
          <w:rFonts w:hint="eastAsia"/>
        </w:rPr>
        <w:t>为了提高数据</w:t>
      </w:r>
      <w:r>
        <w:t>质量</w:t>
      </w:r>
      <w:r>
        <w:rPr>
          <w:rFonts w:hint="eastAsia"/>
        </w:rPr>
        <w:t>，</w:t>
      </w:r>
      <w:r>
        <w:t>分析</w:t>
      </w:r>
      <w:r>
        <w:rPr>
          <w:rFonts w:hint="eastAsia"/>
        </w:rPr>
        <w:t>并找到数据缺口，</w:t>
      </w:r>
      <w:r>
        <w:t>收集</w:t>
      </w:r>
      <w:r>
        <w:rPr>
          <w:rFonts w:hint="eastAsia"/>
        </w:rPr>
        <w:t>更高质量的</w:t>
      </w:r>
      <w:r>
        <w:t>数据</w:t>
      </w:r>
      <w:r>
        <w:rPr>
          <w:rFonts w:hint="eastAsia"/>
        </w:rPr>
        <w:t>。</w:t>
      </w:r>
    </w:p>
    <w:p>
      <w:pPr>
        <w:pStyle w:val="67"/>
        <w:spacing w:before="120" w:after="120"/>
      </w:pPr>
      <w:r>
        <w:rPr>
          <w:rFonts w:hint="eastAsia"/>
        </w:rPr>
        <w:t>数据收集项目</w:t>
      </w:r>
    </w:p>
    <w:p>
      <w:pPr>
        <w:pStyle w:val="96"/>
        <w:spacing w:before="120" w:after="120"/>
      </w:pPr>
      <w:r>
        <w:rPr>
          <w:rFonts w:hint="eastAsia"/>
        </w:rPr>
        <w:t>原材料和</w:t>
      </w:r>
      <w:r>
        <w:t>能源</w:t>
      </w:r>
      <w:r>
        <w:rPr>
          <w:rFonts w:hint="eastAsia"/>
        </w:rPr>
        <w:t>获取</w:t>
      </w:r>
      <w:r>
        <w:t>阶段</w:t>
      </w:r>
    </w:p>
    <w:p>
      <w:pPr>
        <w:pStyle w:val="58"/>
        <w:ind w:firstLine="420"/>
      </w:pPr>
      <w:r>
        <w:rPr>
          <w:rFonts w:hint="eastAsia"/>
        </w:rPr>
        <w:t>原材料和能源获取阶段宜收集以下过程相关的数据：</w:t>
      </w:r>
    </w:p>
    <w:p>
      <w:pPr>
        <w:pStyle w:val="176"/>
        <w:numPr>
          <w:ilvl w:val="0"/>
          <w:numId w:val="45"/>
        </w:numPr>
      </w:pPr>
      <w:r>
        <w:rPr>
          <w:rFonts w:hint="eastAsia"/>
        </w:rPr>
        <w:t>各原材料开采/生产/成型/精炼过程</w:t>
      </w:r>
      <w:r>
        <w:t>；</w:t>
      </w:r>
    </w:p>
    <w:p>
      <w:pPr>
        <w:pStyle w:val="176"/>
        <w:numPr>
          <w:ilvl w:val="0"/>
          <w:numId w:val="13"/>
        </w:numPr>
      </w:pPr>
      <w:r>
        <w:rPr>
          <w:rFonts w:hint="eastAsia"/>
        </w:rPr>
        <w:t>各原材料运输过程，</w:t>
      </w:r>
      <w:r>
        <w:t>包括</w:t>
      </w:r>
      <w:r>
        <w:rPr>
          <w:rFonts w:hint="eastAsia"/>
        </w:rPr>
        <w:t>公</w:t>
      </w:r>
      <w:r>
        <w:t>路</w:t>
      </w:r>
      <w:r>
        <w:rPr>
          <w:rFonts w:hint="eastAsia"/>
        </w:rPr>
        <w:t>和铁路</w:t>
      </w:r>
      <w:r>
        <w:t>运输</w:t>
      </w:r>
      <w:r>
        <w:rPr>
          <w:rFonts w:hint="eastAsia"/>
        </w:rPr>
        <w:t>等</w:t>
      </w:r>
      <w:r>
        <w:t>；</w:t>
      </w:r>
    </w:p>
    <w:p>
      <w:pPr>
        <w:pStyle w:val="176"/>
        <w:numPr>
          <w:ilvl w:val="0"/>
          <w:numId w:val="13"/>
        </w:numPr>
      </w:pPr>
      <w:r>
        <w:rPr>
          <w:rFonts w:hint="eastAsia"/>
        </w:rPr>
        <w:t>能源生产/输送/外购过程；</w:t>
      </w:r>
    </w:p>
    <w:p>
      <w:pPr>
        <w:pStyle w:val="176"/>
        <w:numPr>
          <w:ilvl w:val="0"/>
          <w:numId w:val="13"/>
        </w:numPr>
      </w:pPr>
      <w:r>
        <w:rPr>
          <w:rFonts w:hint="eastAsia"/>
        </w:rPr>
        <w:t>上述过程所产生的废气、废水、废弃物处理相关的GHG排放，其中委外处理的仅计算其运输过程。</w:t>
      </w:r>
    </w:p>
    <w:p>
      <w:pPr>
        <w:pStyle w:val="181"/>
      </w:pPr>
      <w:r>
        <w:rPr>
          <w:rFonts w:hint="eastAsia"/>
        </w:rPr>
        <w:t>原材料和</w:t>
      </w:r>
      <w:r>
        <w:t>能源</w:t>
      </w:r>
      <w:r>
        <w:rPr>
          <w:rFonts w:hint="eastAsia"/>
        </w:rPr>
        <w:t>获取阶段收集的</w:t>
      </w:r>
      <w:r>
        <w:t>数据</w:t>
      </w:r>
      <w:r>
        <w:rPr>
          <w:rFonts w:hint="eastAsia"/>
        </w:rPr>
        <w:t>可</w:t>
      </w:r>
      <w:r>
        <w:t>使用</w:t>
      </w:r>
      <w:r>
        <w:rPr>
          <w:rFonts w:hint="eastAsia"/>
        </w:rPr>
        <w:t>次级</w:t>
      </w:r>
      <w:r>
        <w:t>数据</w:t>
      </w:r>
      <w:r>
        <w:rPr>
          <w:rFonts w:hint="eastAsia"/>
        </w:rPr>
        <w:t>。</w:t>
      </w:r>
      <w:r>
        <w:t xml:space="preserve"> </w:t>
      </w:r>
    </w:p>
    <w:p>
      <w:pPr>
        <w:pStyle w:val="96"/>
        <w:spacing w:before="120" w:after="120"/>
      </w:pPr>
      <w:r>
        <w:rPr>
          <w:rFonts w:hint="eastAsia"/>
        </w:rPr>
        <w:t>产品生产</w:t>
      </w:r>
      <w:r>
        <w:t>阶段</w:t>
      </w:r>
    </w:p>
    <w:p>
      <w:pPr>
        <w:pStyle w:val="58"/>
        <w:ind w:firstLine="420"/>
      </w:pPr>
      <w:r>
        <w:rPr>
          <w:rFonts w:hint="eastAsia"/>
        </w:rPr>
        <w:t>产品生产阶段宜</w:t>
      </w:r>
      <w:r>
        <w:t>收集</w:t>
      </w:r>
      <w:r>
        <w:rPr>
          <w:rFonts w:hint="eastAsia"/>
        </w:rPr>
        <w:t>以下过程相关的</w:t>
      </w:r>
      <w:r>
        <w:t>数据</w:t>
      </w:r>
      <w:r>
        <w:rPr>
          <w:rFonts w:hint="eastAsia"/>
        </w:rPr>
        <w:t>：</w:t>
      </w:r>
    </w:p>
    <w:p>
      <w:pPr>
        <w:pStyle w:val="176"/>
        <w:numPr>
          <w:ilvl w:val="0"/>
          <w:numId w:val="46"/>
        </w:numPr>
      </w:pPr>
      <w:r>
        <w:rPr>
          <w:rFonts w:hint="eastAsia"/>
        </w:rPr>
        <w:t>煤炭</w:t>
      </w:r>
      <w:r>
        <w:t>预处理阶段</w:t>
      </w:r>
      <w:r>
        <w:rPr>
          <w:rFonts w:hint="eastAsia"/>
          <w:lang w:eastAsia="zh-CN"/>
        </w:rPr>
        <w:t>能源</w:t>
      </w:r>
      <w:r>
        <w:t>消耗</w:t>
      </w:r>
      <w:r>
        <w:rPr>
          <w:rFonts w:hint="eastAsia"/>
        </w:rPr>
        <w:t>；</w:t>
      </w:r>
    </w:p>
    <w:p>
      <w:pPr>
        <w:pStyle w:val="176"/>
        <w:numPr>
          <w:ilvl w:val="0"/>
          <w:numId w:val="46"/>
        </w:numPr>
      </w:pPr>
      <w:r>
        <w:rPr>
          <w:rFonts w:hint="eastAsia"/>
        </w:rPr>
        <w:t>空分阶段</w:t>
      </w:r>
      <w:r>
        <w:rPr>
          <w:rFonts w:hint="eastAsia"/>
          <w:lang w:eastAsia="zh-CN"/>
        </w:rPr>
        <w:t>能源</w:t>
      </w:r>
      <w:r>
        <w:t>消耗；</w:t>
      </w:r>
    </w:p>
    <w:p>
      <w:pPr>
        <w:pStyle w:val="176"/>
        <w:numPr>
          <w:ilvl w:val="0"/>
          <w:numId w:val="46"/>
        </w:numPr>
      </w:pPr>
      <w:r>
        <w:rPr>
          <w:rFonts w:hint="eastAsia"/>
        </w:rPr>
        <w:t>气化</w:t>
      </w:r>
      <w:r>
        <w:t>反应</w:t>
      </w:r>
      <w:r>
        <w:rPr>
          <w:rFonts w:hint="eastAsia"/>
        </w:rPr>
        <w:t>阶段</w:t>
      </w:r>
      <w:r>
        <w:rPr>
          <w:rFonts w:hint="eastAsia"/>
          <w:lang w:eastAsia="zh-CN"/>
        </w:rPr>
        <w:t>能源</w:t>
      </w:r>
      <w:r>
        <w:rPr>
          <w:rFonts w:hint="eastAsia"/>
        </w:rPr>
        <w:t>消耗</w:t>
      </w:r>
      <w:r>
        <w:t>；</w:t>
      </w:r>
    </w:p>
    <w:p>
      <w:pPr>
        <w:pStyle w:val="176"/>
        <w:numPr>
          <w:ilvl w:val="0"/>
          <w:numId w:val="46"/>
        </w:numPr>
      </w:pPr>
      <w:r>
        <w:rPr>
          <w:rFonts w:hint="eastAsia"/>
        </w:rPr>
        <w:t>粗合成气变换、净化阶段</w:t>
      </w:r>
      <w:r>
        <w:rPr>
          <w:rFonts w:hint="eastAsia"/>
          <w:lang w:eastAsia="zh-CN"/>
        </w:rPr>
        <w:t>能源</w:t>
      </w:r>
      <w:r>
        <w:rPr>
          <w:rFonts w:hint="eastAsia"/>
        </w:rPr>
        <w:t>消耗；</w:t>
      </w:r>
    </w:p>
    <w:p>
      <w:pPr>
        <w:pStyle w:val="176"/>
        <w:numPr>
          <w:ilvl w:val="0"/>
          <w:numId w:val="46"/>
        </w:numPr>
      </w:pPr>
      <w:r>
        <w:rPr>
          <w:rFonts w:hint="eastAsia"/>
        </w:rPr>
        <w:t>草酸二甲酯合成及</w:t>
      </w:r>
      <w:r>
        <w:t>精制</w:t>
      </w:r>
      <w:r>
        <w:rPr>
          <w:rFonts w:hint="eastAsia"/>
        </w:rPr>
        <w:t>阶段</w:t>
      </w:r>
      <w:r>
        <w:rPr>
          <w:rFonts w:hint="eastAsia"/>
          <w:lang w:eastAsia="zh-CN"/>
        </w:rPr>
        <w:t>能源</w:t>
      </w:r>
      <w:r>
        <w:rPr>
          <w:rFonts w:hint="eastAsia"/>
        </w:rPr>
        <w:t>消耗；</w:t>
      </w:r>
    </w:p>
    <w:p>
      <w:pPr>
        <w:pStyle w:val="176"/>
        <w:numPr>
          <w:ilvl w:val="0"/>
          <w:numId w:val="46"/>
        </w:numPr>
      </w:pPr>
      <w:r>
        <w:rPr>
          <w:rFonts w:hint="eastAsia"/>
        </w:rPr>
        <w:t>乙二醇合成及精制阶段</w:t>
      </w:r>
      <w:r>
        <w:rPr>
          <w:rFonts w:hint="eastAsia"/>
          <w:lang w:eastAsia="zh-CN"/>
        </w:rPr>
        <w:t>能源</w:t>
      </w:r>
      <w:r>
        <w:rPr>
          <w:rFonts w:hint="eastAsia"/>
        </w:rPr>
        <w:t>消耗；</w:t>
      </w:r>
    </w:p>
    <w:p>
      <w:pPr>
        <w:pStyle w:val="176"/>
        <w:numPr>
          <w:ilvl w:val="0"/>
          <w:numId w:val="46"/>
        </w:numPr>
      </w:pPr>
      <w:r>
        <w:rPr>
          <w:rFonts w:hint="eastAsia"/>
        </w:rPr>
        <w:t>水处理阶段</w:t>
      </w:r>
      <w:r>
        <w:rPr>
          <w:rFonts w:hint="eastAsia"/>
          <w:lang w:eastAsia="zh-CN"/>
        </w:rPr>
        <w:t>能源</w:t>
      </w:r>
      <w:r>
        <w:t>消耗；</w:t>
      </w:r>
    </w:p>
    <w:p>
      <w:pPr>
        <w:pStyle w:val="176"/>
        <w:numPr>
          <w:ilvl w:val="0"/>
          <w:numId w:val="38"/>
        </w:numPr>
      </w:pPr>
      <w:r>
        <w:rPr>
          <w:rFonts w:hint="eastAsia"/>
        </w:rPr>
        <w:t>检验</w:t>
      </w:r>
      <w:r>
        <w:t>和包</w:t>
      </w:r>
      <w:r>
        <w:rPr>
          <w:rFonts w:hint="eastAsia"/>
        </w:rPr>
        <w:t>装</w:t>
      </w:r>
      <w:r>
        <w:t>的过程</w:t>
      </w:r>
      <w:r>
        <w:rPr>
          <w:rFonts w:hint="eastAsia"/>
        </w:rPr>
        <w:t>中</w:t>
      </w:r>
      <w:r>
        <w:t>燃料及电</w:t>
      </w:r>
      <w:r>
        <w:rPr>
          <w:rFonts w:hint="eastAsia"/>
        </w:rPr>
        <w:t>（热）力</w:t>
      </w:r>
      <w:r>
        <w:t>等能源消耗</w:t>
      </w:r>
      <w:r>
        <w:rPr>
          <w:rFonts w:hint="eastAsia"/>
        </w:rPr>
        <w:t>量；</w:t>
      </w:r>
    </w:p>
    <w:p>
      <w:pPr>
        <w:pStyle w:val="176"/>
        <w:numPr>
          <w:ilvl w:val="0"/>
          <w:numId w:val="38"/>
        </w:numPr>
      </w:pPr>
      <w:r>
        <w:rPr>
          <w:rFonts w:hint="eastAsia"/>
        </w:rPr>
        <w:t>上述过程中所涉及的燃料</w:t>
      </w:r>
      <w:r>
        <w:t>、</w:t>
      </w:r>
      <w:r>
        <w:rPr>
          <w:rFonts w:hint="eastAsia"/>
        </w:rPr>
        <w:t>辅助材料的</w:t>
      </w:r>
      <w:r>
        <w:t>运输工具</w:t>
      </w:r>
      <w:r>
        <w:rPr>
          <w:rFonts w:hint="eastAsia"/>
        </w:rPr>
        <w:t>及其</w:t>
      </w:r>
      <w:r>
        <w:t>核定</w:t>
      </w:r>
      <w:r>
        <w:rPr>
          <w:rFonts w:hint="eastAsia"/>
        </w:rPr>
        <w:t>载重量、</w:t>
      </w:r>
      <w:r>
        <w:t>运输距离；</w:t>
      </w:r>
    </w:p>
    <w:p>
      <w:pPr>
        <w:pStyle w:val="176"/>
        <w:numPr>
          <w:ilvl w:val="0"/>
          <w:numId w:val="38"/>
        </w:numPr>
      </w:pPr>
      <w:r>
        <w:rPr>
          <w:rFonts w:hint="eastAsia"/>
        </w:rPr>
        <w:t>余热</w:t>
      </w:r>
      <w:r>
        <w:t>利用</w:t>
      </w:r>
      <w:r>
        <w:rPr>
          <w:rFonts w:hint="eastAsia"/>
        </w:rPr>
        <w:t>供热</w:t>
      </w:r>
      <w:r>
        <w:t>量或发电量</w:t>
      </w:r>
      <w:r>
        <w:rPr>
          <w:rFonts w:hint="eastAsia"/>
        </w:rPr>
        <w:t>。</w:t>
      </w:r>
    </w:p>
    <w:p>
      <w:pPr>
        <w:pStyle w:val="181"/>
      </w:pPr>
      <w:r>
        <w:rPr>
          <w:rFonts w:hint="eastAsia"/>
        </w:rPr>
        <w:t>产品制造</w:t>
      </w:r>
      <w:r>
        <w:t>阶段</w:t>
      </w:r>
      <w:r>
        <w:rPr>
          <w:rFonts w:hint="eastAsia"/>
        </w:rPr>
        <w:t>收集的</w:t>
      </w:r>
      <w:r>
        <w:t>数据</w:t>
      </w:r>
      <w:r>
        <w:rPr>
          <w:rFonts w:hint="eastAsia"/>
        </w:rPr>
        <w:t>应使用初级数据。</w:t>
      </w:r>
    </w:p>
    <w:p>
      <w:pPr>
        <w:pStyle w:val="67"/>
        <w:spacing w:before="120" w:after="120"/>
      </w:pPr>
      <w:r>
        <w:rPr>
          <w:rFonts w:hint="eastAsia"/>
        </w:rPr>
        <w:t>数据</w:t>
      </w:r>
      <w:r>
        <w:t>保存</w:t>
      </w:r>
    </w:p>
    <w:p>
      <w:pPr>
        <w:pStyle w:val="58"/>
        <w:ind w:firstLine="420"/>
      </w:pPr>
      <w:r>
        <w:rPr>
          <w:rFonts w:hint="eastAsia"/>
        </w:rPr>
        <w:t>开展</w:t>
      </w:r>
      <w:r>
        <w:t>产品碳足迹研究</w:t>
      </w:r>
      <w:r>
        <w:rPr>
          <w:rFonts w:hint="eastAsia"/>
        </w:rPr>
        <w:t>的</w:t>
      </w:r>
      <w:r>
        <w:t>组织宜</w:t>
      </w:r>
      <w:r>
        <w:rPr>
          <w:rFonts w:hint="eastAsia"/>
        </w:rPr>
        <w:t>建立数据</w:t>
      </w:r>
      <w:r>
        <w:t>管理系统，</w:t>
      </w:r>
      <w:r>
        <w:rPr>
          <w:rFonts w:hint="eastAsia"/>
        </w:rPr>
        <w:t>保留</w:t>
      </w:r>
      <w:r>
        <w:t>相关</w:t>
      </w:r>
      <w:r>
        <w:rPr>
          <w:rFonts w:hint="eastAsia"/>
        </w:rPr>
        <w:t>文件</w:t>
      </w:r>
      <w:r>
        <w:t>和记录，</w:t>
      </w:r>
      <w:r>
        <w:rPr>
          <w:rFonts w:hint="eastAsia"/>
        </w:rPr>
        <w:t>并</w:t>
      </w:r>
      <w:r>
        <w:t>持续提高数据质量。</w:t>
      </w:r>
    </w:p>
    <w:p>
      <w:pPr>
        <w:pStyle w:val="107"/>
        <w:spacing w:before="120" w:after="120"/>
      </w:pPr>
      <w:r>
        <w:rPr>
          <w:rFonts w:hint="eastAsia"/>
        </w:rPr>
        <w:t>电力</w:t>
      </w:r>
      <w:r>
        <w:t>数据收集</w:t>
      </w:r>
    </w:p>
    <w:p>
      <w:pPr>
        <w:pStyle w:val="67"/>
        <w:spacing w:before="120" w:after="120"/>
      </w:pPr>
      <w:r>
        <w:rPr>
          <w:rFonts w:hint="eastAsia"/>
        </w:rPr>
        <w:t>自发</w:t>
      </w:r>
      <w:r>
        <w:t>电力</w:t>
      </w:r>
    </w:p>
    <w:p>
      <w:pPr>
        <w:pStyle w:val="58"/>
        <w:ind w:firstLine="420"/>
      </w:pPr>
      <w:r>
        <w:rPr>
          <w:rFonts w:hint="eastAsia"/>
        </w:rPr>
        <w:t>当煤</w:t>
      </w:r>
      <w:r>
        <w:t>制</w:t>
      </w:r>
      <w:r>
        <w:rPr>
          <w:rFonts w:hint="eastAsia"/>
        </w:rPr>
        <w:t>乙二醇产品消耗的电能为自备电厂发电，且未向第三方出售，则应优先计算该自备电厂电力全生命周期温室气体排放因子。如无法计算，应根据发电原料使用情况优先使用第三方数据库获取电力全生命周期温室气体排放因子。</w:t>
      </w:r>
    </w:p>
    <w:p>
      <w:pPr>
        <w:pStyle w:val="166"/>
      </w:pPr>
      <w:r>
        <w:rPr>
          <w:rFonts w:hint="eastAsia"/>
        </w:rPr>
        <w:t>燃煤发电</w:t>
      </w:r>
      <w:r>
        <w:rPr>
          <w:rFonts w:hint="eastAsia" w:hAnsi="宋体"/>
        </w:rPr>
        <w:t>全生命周期温室气体排放因子</w:t>
      </w:r>
      <w:r>
        <w:rPr>
          <w:rFonts w:hint="eastAsia"/>
        </w:rPr>
        <w:t>计算，按公式(1)计算：</w:t>
      </w:r>
    </w:p>
    <w:p>
      <w:pPr>
        <w:pStyle w:val="115"/>
      </w:pPr>
      <w:r>
        <w:tab/>
      </w:r>
      <m:oMath>
        <m:sSub>
          <m:sSubPr>
            <m:ctrlPr>
              <w:rPr>
                <w:rFonts w:hint="eastAsia" w:ascii="Cambria Math" w:hAnsi="Cambria Math"/>
                <w:i/>
              </w:rPr>
            </m:ctrlPr>
          </m:sSubPr>
          <m:e>
            <m:r>
              <m:rPr/>
              <w:rPr>
                <w:rFonts w:hint="eastAsia" w:ascii="Cambria Math" w:hAnsi="Cambria Math"/>
              </w:rPr>
              <m:t>CFP</m:t>
            </m:r>
            <m:ctrlPr>
              <w:rPr>
                <w:rFonts w:hint="eastAsia" w:ascii="Cambria Math" w:hAnsi="Cambria Math"/>
                <w:i/>
              </w:rPr>
            </m:ctrlPr>
          </m:e>
          <m:sub>
            <m:r>
              <m:rPr/>
              <w:rPr>
                <w:rFonts w:hint="eastAsia" w:ascii="Cambria Math" w:hAnsi="Cambria Math"/>
              </w:rPr>
              <m:t>燃煤发电</m:t>
            </m:r>
            <m:ctrlPr>
              <w:rPr>
                <w:rFonts w:hint="eastAsia" w:ascii="Cambria Math" w:hAnsi="Cambria Math"/>
                <w:i/>
              </w:rPr>
            </m:ctrlPr>
          </m:sub>
        </m:sSub>
        <m:r>
          <m:rPr/>
          <w:rPr>
            <w:rFonts w:hint="eastAsia" w:ascii="Cambria Math" w:hAnsi="Cambria Math"/>
          </w:rPr>
          <m:t>=</m:t>
        </m:r>
        <m:f>
          <m:fPr>
            <m:ctrlPr>
              <w:rPr>
                <w:rFonts w:hint="eastAsia" w:ascii="Cambria Math" w:hAnsi="Cambria Math"/>
                <w:i/>
              </w:rPr>
            </m:ctrlPr>
          </m:fPr>
          <m:num>
            <m:d>
              <m:dPr>
                <m:ctrlPr>
                  <w:rPr>
                    <w:rFonts w:hint="eastAsia" w:ascii="Cambria Math" w:hAnsi="Cambria Math"/>
                    <w:i/>
                  </w:rPr>
                </m:ctrlPr>
              </m:dPr>
              <m:e>
                <m:sSub>
                  <m:sSubPr>
                    <m:ctrlPr>
                      <w:rPr>
                        <w:rFonts w:hint="eastAsia" w:ascii="Cambria Math" w:hAnsi="Cambria Math"/>
                        <w:i/>
                      </w:rPr>
                    </m:ctrlPr>
                  </m:sSubPr>
                  <m:e>
                    <m:r>
                      <m:rPr/>
                      <w:rPr>
                        <w:rFonts w:ascii="Cambria Math" w:hAnsi="Cambria Math"/>
                      </w:rPr>
                      <m:t>Em</m:t>
                    </m:r>
                    <m:ctrlPr>
                      <w:rPr>
                        <w:rFonts w:hint="eastAsia" w:ascii="Cambria Math" w:hAnsi="Cambria Math"/>
                        <w:i/>
                      </w:rPr>
                    </m:ctrlPr>
                  </m:e>
                  <m:sub>
                    <m:r>
                      <m:rPr/>
                      <w:rPr>
                        <w:rFonts w:hint="eastAsia" w:ascii="Cambria Math" w:hAnsi="Cambria Math"/>
                      </w:rPr>
                      <m:t>原材料获取</m:t>
                    </m:r>
                    <m:ctrlPr>
                      <w:rPr>
                        <w:rFonts w:hint="eastAsia"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m:t>
                    </m:r>
                    <m:ctrlPr>
                      <w:rPr>
                        <w:rFonts w:ascii="Cambria Math" w:hAnsi="Cambria Math"/>
                        <w:i/>
                      </w:rPr>
                    </m:ctrlPr>
                  </m:e>
                  <m:sub>
                    <m:r>
                      <m:rPr/>
                      <w:rPr>
                        <w:rFonts w:hint="eastAsia" w:ascii="Cambria Math" w:hAnsi="Cambria Math"/>
                      </w:rPr>
                      <m:t>运营维护</m:t>
                    </m:r>
                    <m:ctrlPr>
                      <w:rPr>
                        <w:rFonts w:ascii="Cambria Math" w:hAnsi="Cambria Math"/>
                        <w:i/>
                      </w:rPr>
                    </m:ctrlPr>
                  </m:sub>
                </m:sSub>
                <m:ctrlPr>
                  <w:rPr>
                    <w:rFonts w:hint="eastAsia" w:ascii="Cambria Math" w:hAnsi="Cambria Math"/>
                    <w:i/>
                  </w:rPr>
                </m:ctrlPr>
              </m:e>
            </m:d>
            <m:r>
              <m:rPr/>
              <w:rPr>
                <w:rFonts w:ascii="Cambria Math" w:hAnsi="Cambria Math"/>
              </w:rPr>
              <m:t>×</m:t>
            </m:r>
            <m:d>
              <m:dPr>
                <m:ctrlPr>
                  <w:rPr>
                    <w:rFonts w:ascii="Cambria Math" w:hAnsi="Cambria Math"/>
                    <w:i/>
                  </w:rPr>
                </m:ctrlPr>
              </m:dPr>
              <m:e>
                <m:r>
                  <m:rPr/>
                  <w:rPr>
                    <w:rFonts w:ascii="Cambria Math" w:hAnsi="Cambria Math"/>
                  </w:rPr>
                  <m:t>1−a/100</m:t>
                </m:r>
                <m:ctrlPr>
                  <w:rPr>
                    <w:rFonts w:ascii="Cambria Math" w:hAnsi="Cambria Math"/>
                    <w:i/>
                  </w:rPr>
                </m:ctrlPr>
              </m:e>
            </m:d>
            <m:ctrlPr>
              <w:rPr>
                <w:rFonts w:hint="eastAsia" w:ascii="Cambria Math" w:hAnsi="Cambria Math"/>
                <w:i/>
              </w:rPr>
            </m:ctrlPr>
          </m:num>
          <m:den>
            <m:sSub>
              <m:sSubPr>
                <m:ctrlPr>
                  <w:rPr>
                    <w:rFonts w:hint="eastAsia" w:ascii="Cambria Math" w:hAnsi="Cambria Math"/>
                    <w:i/>
                  </w:rPr>
                </m:ctrlPr>
              </m:sSubPr>
              <m:e>
                <m:r>
                  <m:rPr/>
                  <w:rPr>
                    <w:rFonts w:ascii="Cambria Math" w:hAnsi="Cambria Math"/>
                  </w:rPr>
                  <m:t>E</m:t>
                </m:r>
                <m:ctrlPr>
                  <w:rPr>
                    <w:rFonts w:hint="eastAsia" w:ascii="Cambria Math" w:hAnsi="Cambria Math"/>
                    <w:i/>
                  </w:rPr>
                </m:ctrlPr>
              </m:e>
              <m:sub>
                <m:r>
                  <m:rPr/>
                  <w:rPr>
                    <w:rFonts w:hint="eastAsia" w:ascii="Cambria Math" w:hAnsi="Cambria Math"/>
                  </w:rPr>
                  <m:t>上网电力</m:t>
                </m:r>
                <m:ctrlPr>
                  <w:rPr>
                    <w:rFonts w:hint="eastAsia" w:ascii="Cambria Math" w:hAnsi="Cambria Math"/>
                    <w:i/>
                  </w:rPr>
                </m:ctrlPr>
              </m:sub>
            </m:sSub>
            <m:ctrlPr>
              <w:rPr>
                <w:rFonts w:hint="eastAsia" w:ascii="Cambria Math" w:hAnsi="Cambria Math"/>
                <w:i/>
              </w:rPr>
            </m:ctrlPr>
          </m:den>
        </m:f>
      </m:oMath>
      <w:r>
        <w:rPr>
          <w:rFonts w:ascii="微软雅黑" w:hAnsi="微软雅黑" w:eastAsia="微软雅黑"/>
        </w:rPr>
        <w:tab/>
      </w:r>
      <w:r>
        <w:t>(</w:t>
      </w:r>
      <w:r>
        <w:fldChar w:fldCharType="begin"/>
      </w:r>
      <w:r>
        <w:instrText xml:space="preserve"> AUTONUM </w:instrText>
      </w:r>
      <w:r>
        <w:fldChar w:fldCharType="end"/>
      </w:r>
      <w:r>
        <w:t>)</w:t>
      </w:r>
    </w:p>
    <w:p>
      <w:pPr>
        <w:pStyle w:val="57"/>
        <w:ind w:firstLine="420"/>
      </w:pPr>
      <w:r>
        <w:rPr>
          <w:rFonts w:hint="eastAsia"/>
        </w:rPr>
        <w:t>式中：</w:t>
      </w:r>
    </w:p>
    <w:p>
      <w:pPr>
        <w:pStyle w:val="58"/>
        <w:ind w:left="1785" w:leftChars="200" w:hanging="1365" w:hangingChars="650"/>
        <w:rPr>
          <w:rFonts w:hAnsi="宋体" w:cs="宋体"/>
        </w:rPr>
      </w:pPr>
      <w:r>
        <w:rPr>
          <w:rFonts w:hint="eastAsia" w:hAnsi="宋体" w:cs="宋体"/>
          <w:szCs w:val="24"/>
        </w:rPr>
        <w:t>CFP</w:t>
      </w:r>
      <w:r>
        <w:rPr>
          <w:rFonts w:hint="eastAsia" w:hAnsi="宋体" w:cs="宋体"/>
          <w:szCs w:val="24"/>
          <w:vertAlign w:val="subscript"/>
        </w:rPr>
        <w:t xml:space="preserve">燃煤发电  </w:t>
      </w:r>
      <w:r>
        <w:rPr>
          <w:rFonts w:ascii="Times New Roman"/>
        </w:rPr>
        <w:t>——</w:t>
      </w:r>
      <w:r>
        <w:rPr>
          <w:rFonts w:hint="eastAsia" w:hAnsi="宋体" w:cs="宋体"/>
        </w:rPr>
        <w:t>燃煤发电</w:t>
      </w:r>
      <w:r>
        <w:rPr>
          <w:rFonts w:hint="eastAsia" w:hAnsi="宋体"/>
        </w:rPr>
        <w:t>全生命周期温室气体排放因子</w:t>
      </w:r>
      <w:r>
        <w:rPr>
          <w:rFonts w:hint="eastAsia" w:hAnsi="宋体" w:cs="宋体"/>
        </w:rPr>
        <w:t>，单位为千克二氧化碳当量每千瓦时（kgCO2e/kWh）；</w:t>
      </w:r>
    </w:p>
    <w:p>
      <w:pPr>
        <w:pStyle w:val="58"/>
        <w:ind w:firstLine="420"/>
        <w:rPr>
          <w:rFonts w:hAnsi="宋体" w:cs="宋体"/>
          <w:szCs w:val="24"/>
        </w:rPr>
      </w:pPr>
      <w:r>
        <w:rPr>
          <w:rFonts w:hint="eastAsia" w:hAnsi="宋体" w:cs="宋体"/>
          <w:szCs w:val="24"/>
        </w:rPr>
        <w:t>Em</w:t>
      </w:r>
      <w:r>
        <w:rPr>
          <w:rFonts w:hint="eastAsia" w:hAnsi="宋体" w:cs="宋体"/>
          <w:szCs w:val="24"/>
          <w:vertAlign w:val="subscript"/>
        </w:rPr>
        <w:t xml:space="preserve">原材料获取 </w:t>
      </w:r>
      <w:r>
        <w:rPr>
          <w:rFonts w:hAnsi="宋体" w:cs="宋体"/>
          <w:szCs w:val="24"/>
          <w:vertAlign w:val="subscript"/>
        </w:rPr>
        <w:t xml:space="preserve">  </w:t>
      </w:r>
      <w:r>
        <w:rPr>
          <w:rFonts w:hint="eastAsia" w:hAnsi="宋体" w:cs="宋体"/>
          <w:szCs w:val="24"/>
          <w:vertAlign w:val="subscript"/>
        </w:rPr>
        <w:t xml:space="preserve"> </w:t>
      </w:r>
      <w:r>
        <w:rPr>
          <w:rFonts w:ascii="Times New Roman"/>
        </w:rPr>
        <w:t>——</w:t>
      </w:r>
      <w:r>
        <w:rPr>
          <w:rFonts w:hint="eastAsia" w:hAnsi="宋体" w:cs="宋体"/>
          <w:szCs w:val="24"/>
        </w:rPr>
        <w:t>燃煤发电原材料获取阶段碳排放量，单位为千克二氧化碳当量（kgCO2e）；</w:t>
      </w:r>
    </w:p>
    <w:p>
      <w:pPr>
        <w:pStyle w:val="58"/>
        <w:ind w:firstLine="420"/>
        <w:rPr>
          <w:rFonts w:hAnsi="宋体" w:cs="宋体"/>
        </w:rPr>
      </w:pPr>
      <w:r>
        <w:rPr>
          <w:rFonts w:hint="eastAsia" w:hAnsi="宋体" w:cs="宋体"/>
          <w:szCs w:val="24"/>
        </w:rPr>
        <w:t>Em</w:t>
      </w:r>
      <w:r>
        <w:rPr>
          <w:rFonts w:hint="eastAsia" w:hAnsi="宋体" w:cs="宋体"/>
          <w:szCs w:val="24"/>
          <w:vertAlign w:val="subscript"/>
        </w:rPr>
        <w:t xml:space="preserve">运营维护  </w:t>
      </w:r>
      <w:r>
        <w:rPr>
          <w:rFonts w:hint="eastAsia" w:hAnsi="宋体" w:cs="宋体"/>
          <w:szCs w:val="24"/>
        </w:rPr>
        <w:t xml:space="preserve"> </w:t>
      </w:r>
      <w:r>
        <w:rPr>
          <w:rFonts w:hAnsi="宋体" w:cs="宋体"/>
          <w:szCs w:val="24"/>
        </w:rPr>
        <w:t xml:space="preserve"> </w:t>
      </w:r>
      <w:r>
        <w:rPr>
          <w:rFonts w:ascii="Times New Roman"/>
        </w:rPr>
        <w:t>——</w:t>
      </w:r>
      <w:r>
        <w:rPr>
          <w:rFonts w:hint="eastAsia" w:hAnsi="宋体" w:cs="宋体"/>
        </w:rPr>
        <w:t>燃煤发电运营维护阶段碳排放量，单位为千克二氧化碳当量（kgCO2e）；</w:t>
      </w:r>
    </w:p>
    <w:p>
      <w:pPr>
        <w:pStyle w:val="58"/>
        <w:ind w:firstLine="420"/>
        <w:rPr>
          <w:rFonts w:hAnsi="宋体" w:cs="宋体"/>
        </w:rPr>
      </w:pPr>
      <w:r>
        <w:rPr>
          <w:rFonts w:hint="eastAsia" w:hAnsi="宋体" w:cs="宋体"/>
          <w:szCs w:val="24"/>
        </w:rPr>
        <w:t>E</w:t>
      </w:r>
      <w:r>
        <w:rPr>
          <w:rFonts w:hint="eastAsia" w:hAnsi="宋体" w:cs="宋体"/>
          <w:szCs w:val="24"/>
          <w:vertAlign w:val="subscript"/>
        </w:rPr>
        <w:t xml:space="preserve">上网电力     </w:t>
      </w:r>
      <w:r>
        <w:rPr>
          <w:rFonts w:hAnsi="宋体" w:cs="宋体"/>
          <w:szCs w:val="24"/>
          <w:vertAlign w:val="subscript"/>
        </w:rPr>
        <w:t xml:space="preserve">   </w:t>
      </w:r>
      <w:r>
        <w:rPr>
          <w:rFonts w:ascii="Times New Roman"/>
        </w:rPr>
        <w:t>——</w:t>
      </w:r>
      <w:r>
        <w:rPr>
          <w:rFonts w:hint="eastAsia" w:hAnsi="宋体" w:cs="宋体"/>
        </w:rPr>
        <w:t>燃煤发电全生命周期上网电量，单位为千瓦时（kWh）；</w:t>
      </w:r>
    </w:p>
    <w:p>
      <w:pPr>
        <w:pStyle w:val="58"/>
        <w:ind w:left="1785" w:leftChars="200" w:hanging="1365" w:hangingChars="650"/>
        <w:rPr>
          <w:rFonts w:hAnsi="宋体" w:cs="宋体"/>
        </w:rPr>
      </w:pPr>
      <w:r>
        <w:rPr>
          <w:rFonts w:hint="eastAsia" w:hAnsi="宋体" w:cs="宋体"/>
          <w:szCs w:val="24"/>
        </w:rPr>
        <w:t>a</w:t>
      </w:r>
      <w:r>
        <w:rPr>
          <w:rFonts w:hint="eastAsia" w:hAnsi="宋体" w:cs="宋体"/>
          <w:szCs w:val="24"/>
          <w:vertAlign w:val="subscript"/>
        </w:rPr>
        <w:t xml:space="preserve">             </w:t>
      </w:r>
      <w:r>
        <w:rPr>
          <w:rFonts w:hAnsi="宋体" w:cs="宋体"/>
          <w:szCs w:val="24"/>
          <w:vertAlign w:val="subscript"/>
        </w:rPr>
        <w:t xml:space="preserve">  </w:t>
      </w:r>
      <w:r>
        <w:rPr>
          <w:rFonts w:ascii="Times New Roman"/>
        </w:rPr>
        <w:t>——</w:t>
      </w:r>
      <w:r>
        <w:rPr>
          <w:rFonts w:hint="eastAsia" w:hAnsi="宋体" w:cs="宋体"/>
        </w:rPr>
        <w:t>供热比，单位为百分比（%）。当生产系统的产品仅为电力时，按0计算；当生产系统的产品为电力和热力时，参考中华人民共和国电力行业标准《火力发电厂技术经济指标计算方法》（DL/T 904-2015）计算。</w:t>
      </w:r>
    </w:p>
    <w:p>
      <w:pPr>
        <w:pStyle w:val="166"/>
      </w:pPr>
      <w:r>
        <w:rPr>
          <w:rFonts w:hint="eastAsia"/>
        </w:rPr>
        <w:t>风力、光伏发电</w:t>
      </w:r>
      <w:r>
        <w:rPr>
          <w:rFonts w:hint="eastAsia" w:hAnsi="宋体"/>
        </w:rPr>
        <w:t>全生命周期温室气体排放因子</w:t>
      </w:r>
      <w:r>
        <w:rPr>
          <w:rFonts w:hint="eastAsia"/>
        </w:rPr>
        <w:t>计算，按公式(2)计算：</w:t>
      </w:r>
    </w:p>
    <w:p>
      <w:pPr>
        <w:pStyle w:val="115"/>
      </w:pPr>
      <w:r>
        <w:tab/>
      </w:r>
      <m:oMath>
        <m:sSub>
          <m:sSubPr>
            <m:ctrlPr>
              <w:rPr>
                <w:rFonts w:hint="eastAsia" w:ascii="Cambria Math" w:hAnsi="Cambria Math"/>
                <w:i/>
              </w:rPr>
            </m:ctrlPr>
          </m:sSubPr>
          <m:e>
            <m:r>
              <m:rPr/>
              <w:rPr>
                <w:rFonts w:hint="eastAsia" w:ascii="Cambria Math" w:hAnsi="Cambria Math"/>
              </w:rPr>
              <m:t>CFP</m:t>
            </m:r>
            <m:ctrlPr>
              <w:rPr>
                <w:rFonts w:hint="eastAsia" w:ascii="Cambria Math" w:hAnsi="Cambria Math"/>
                <w:i/>
              </w:rPr>
            </m:ctrlPr>
          </m:e>
          <m:sub>
            <m:r>
              <m:rPr/>
              <w:rPr>
                <w:rFonts w:hint="eastAsia" w:ascii="Cambria Math" w:hAnsi="Cambria Math"/>
              </w:rPr>
              <m:t>风力</m:t>
            </m:r>
            <m:r>
              <m:rPr/>
              <w:rPr>
                <w:rFonts w:ascii="Cambria Math" w:hAnsi="Cambria Math"/>
              </w:rPr>
              <m:t>、</m:t>
            </m:r>
            <m:r>
              <m:rPr/>
              <w:rPr>
                <w:rFonts w:hint="eastAsia" w:ascii="Cambria Math" w:hAnsi="Cambria Math"/>
              </w:rPr>
              <m:t>光伏发电</m:t>
            </m:r>
            <m:ctrlPr>
              <w:rPr>
                <w:rFonts w:hint="eastAsia" w:ascii="Cambria Math" w:hAnsi="Cambria Math"/>
                <w:i/>
              </w:rPr>
            </m:ctrlPr>
          </m:sub>
        </m:sSub>
        <m:r>
          <m:rPr/>
          <w:rPr>
            <w:rFonts w:hint="eastAsia" w:ascii="Cambria Math" w:hAnsi="Cambria Math"/>
          </w:rPr>
          <m:t>=</m:t>
        </m:r>
        <m:f>
          <m:fPr>
            <m:ctrlPr>
              <w:rPr>
                <w:rFonts w:hint="eastAsia" w:ascii="Cambria Math" w:hAnsi="Cambria Math"/>
                <w:i/>
              </w:rPr>
            </m:ctrlPr>
          </m:fPr>
          <m:num>
            <m:sSub>
              <m:sSubPr>
                <m:ctrlPr>
                  <w:rPr>
                    <w:rFonts w:hint="eastAsia" w:ascii="Cambria Math" w:hAnsi="Cambria Math"/>
                    <w:i/>
                  </w:rPr>
                </m:ctrlPr>
              </m:sSubPr>
              <m:e>
                <m:r>
                  <m:rPr/>
                  <w:rPr>
                    <w:rFonts w:ascii="Cambria Math" w:hAnsi="Cambria Math"/>
                  </w:rPr>
                  <m:t>Em</m:t>
                </m:r>
                <m:ctrlPr>
                  <w:rPr>
                    <w:rFonts w:hint="eastAsia" w:ascii="Cambria Math" w:hAnsi="Cambria Math"/>
                    <w:i/>
                  </w:rPr>
                </m:ctrlPr>
              </m:e>
              <m:sub>
                <m:r>
                  <m:rPr/>
                  <w:rPr>
                    <w:rFonts w:hint="eastAsia" w:ascii="Cambria Math" w:hAnsi="Cambria Math"/>
                  </w:rPr>
                  <m:t>设备获取</m:t>
                </m:r>
                <m:ctrlPr>
                  <w:rPr>
                    <w:rFonts w:hint="eastAsia" w:ascii="Cambria Math" w:hAnsi="Cambria Math"/>
                    <w:i/>
                  </w:rPr>
                </m:ctrlPr>
              </m:sub>
            </m:sSub>
            <m:r>
              <m:rPr/>
              <w:rPr>
                <w:rFonts w:ascii="Cambria Math" w:hAnsi="Cambria Math"/>
              </w:rPr>
              <m:t>+</m:t>
            </m:r>
            <m:sSub>
              <m:sSubPr>
                <m:ctrlPr>
                  <w:rPr>
                    <w:rFonts w:hint="eastAsia" w:ascii="Cambria Math" w:hAnsi="Cambria Math"/>
                    <w:i/>
                  </w:rPr>
                </m:ctrlPr>
              </m:sSubPr>
              <m:e>
                <m:r>
                  <m:rPr/>
                  <w:rPr>
                    <w:rFonts w:ascii="Cambria Math" w:hAnsi="Cambria Math"/>
                  </w:rPr>
                  <m:t>Em</m:t>
                </m:r>
                <m:ctrlPr>
                  <w:rPr>
                    <w:rFonts w:hint="eastAsia" w:ascii="Cambria Math" w:hAnsi="Cambria Math"/>
                    <w:i/>
                  </w:rPr>
                </m:ctrlPr>
              </m:e>
              <m:sub>
                <m:r>
                  <m:rPr/>
                  <w:rPr>
                    <w:rFonts w:hint="eastAsia" w:ascii="Cambria Math" w:hAnsi="Cambria Math"/>
                  </w:rPr>
                  <m:t>施工建设</m:t>
                </m:r>
                <m:ctrlPr>
                  <w:rPr>
                    <w:rFonts w:hint="eastAsia" w:ascii="Cambria Math" w:hAnsi="Cambria Math"/>
                    <w:i/>
                  </w:rPr>
                </m:ctrlPr>
              </m:sub>
            </m:sSub>
            <m:r>
              <m:rPr/>
              <w:rPr>
                <w:rFonts w:ascii="Cambria Math" w:hAnsi="Cambria Math"/>
              </w:rPr>
              <m:t>+</m:t>
            </m:r>
            <m:sSub>
              <m:sSubPr>
                <m:ctrlPr>
                  <w:rPr>
                    <w:rFonts w:hint="eastAsia" w:ascii="Cambria Math" w:hAnsi="Cambria Math"/>
                    <w:i/>
                  </w:rPr>
                </m:ctrlPr>
              </m:sSubPr>
              <m:e>
                <m:r>
                  <m:rPr/>
                  <w:rPr>
                    <w:rFonts w:ascii="Cambria Math" w:hAnsi="Cambria Math"/>
                  </w:rPr>
                  <m:t>Em</m:t>
                </m:r>
                <m:ctrlPr>
                  <w:rPr>
                    <w:rFonts w:hint="eastAsia" w:ascii="Cambria Math" w:hAnsi="Cambria Math"/>
                    <w:i/>
                  </w:rPr>
                </m:ctrlPr>
              </m:e>
              <m:sub>
                <m:r>
                  <m:rPr/>
                  <w:rPr>
                    <w:rFonts w:hint="eastAsia" w:ascii="Cambria Math" w:hAnsi="Cambria Math"/>
                  </w:rPr>
                  <m:t>运营维护</m:t>
                </m:r>
                <m:ctrlPr>
                  <w:rPr>
                    <w:rFonts w:hint="eastAsia" w:ascii="Cambria Math" w:hAnsi="Cambria Math"/>
                    <w:i/>
                  </w:rPr>
                </m:ctrlPr>
              </m:sub>
            </m:sSub>
            <m:r>
              <m:rPr/>
              <w:rPr>
                <w:rFonts w:ascii="Cambria Math" w:hAnsi="Cambria Math"/>
              </w:rPr>
              <m:t>+</m:t>
            </m:r>
            <m:sSub>
              <m:sSubPr>
                <m:ctrlPr>
                  <w:rPr>
                    <w:rFonts w:hint="eastAsia" w:ascii="Cambria Math" w:hAnsi="Cambria Math"/>
                    <w:i/>
                  </w:rPr>
                </m:ctrlPr>
              </m:sSubPr>
              <m:e>
                <m:r>
                  <m:rPr/>
                  <w:rPr>
                    <w:rFonts w:ascii="Cambria Math" w:hAnsi="Cambria Math"/>
                  </w:rPr>
                  <m:t>Em</m:t>
                </m:r>
                <m:ctrlPr>
                  <w:rPr>
                    <w:rFonts w:hint="eastAsia" w:ascii="Cambria Math" w:hAnsi="Cambria Math"/>
                    <w:i/>
                  </w:rPr>
                </m:ctrlPr>
              </m:e>
              <m:sub>
                <m:r>
                  <m:rPr/>
                  <w:rPr>
                    <w:rFonts w:hint="eastAsia" w:ascii="Cambria Math" w:hAnsi="Cambria Math"/>
                  </w:rPr>
                  <m:t>退役处置</m:t>
                </m:r>
                <m:ctrlPr>
                  <w:rPr>
                    <w:rFonts w:hint="eastAsia" w:ascii="Cambria Math" w:hAnsi="Cambria Math"/>
                    <w:i/>
                  </w:rPr>
                </m:ctrlPr>
              </m:sub>
            </m:sSub>
            <m:ctrlPr>
              <w:rPr>
                <w:rFonts w:hint="eastAsia" w:ascii="Cambria Math" w:hAnsi="Cambria Math"/>
                <w:i/>
              </w:rPr>
            </m:ctrlPr>
          </m:num>
          <m:den>
            <m:sSub>
              <m:sSubPr>
                <m:ctrlPr>
                  <w:rPr>
                    <w:rFonts w:hint="eastAsia" w:ascii="Cambria Math" w:hAnsi="Cambria Math"/>
                    <w:i/>
                  </w:rPr>
                </m:ctrlPr>
              </m:sSubPr>
              <m:e>
                <m:r>
                  <m:rPr/>
                  <w:rPr>
                    <w:rFonts w:ascii="Cambria Math" w:hAnsi="Cambria Math"/>
                  </w:rPr>
                  <m:t>E</m:t>
                </m:r>
                <m:ctrlPr>
                  <w:rPr>
                    <w:rFonts w:hint="eastAsia" w:ascii="Cambria Math" w:hAnsi="Cambria Math"/>
                    <w:i/>
                  </w:rPr>
                </m:ctrlPr>
              </m:e>
              <m:sub>
                <m:r>
                  <m:rPr/>
                  <w:rPr>
                    <w:rFonts w:hint="eastAsia" w:ascii="Cambria Math" w:hAnsi="Cambria Math"/>
                  </w:rPr>
                  <m:t>上网电力</m:t>
                </m:r>
                <m:ctrlPr>
                  <w:rPr>
                    <w:rFonts w:hint="eastAsia" w:ascii="Cambria Math" w:hAnsi="Cambria Math"/>
                    <w:i/>
                  </w:rPr>
                </m:ctrlPr>
              </m:sub>
            </m:sSub>
            <m:ctrlPr>
              <w:rPr>
                <w:rFonts w:hint="eastAsia" w:ascii="Cambria Math" w:hAnsi="Cambria Math"/>
                <w:i/>
              </w:rPr>
            </m:ctrlPr>
          </m:den>
        </m:f>
      </m:oMath>
      <w:r>
        <w:rPr>
          <w:rFonts w:ascii="微软雅黑" w:hAnsi="微软雅黑" w:eastAsia="微软雅黑"/>
        </w:rPr>
        <w:tab/>
      </w:r>
      <w:r>
        <w:t>(</w:t>
      </w:r>
      <w:r>
        <w:fldChar w:fldCharType="begin"/>
      </w:r>
      <w:r>
        <w:instrText xml:space="preserve"> AUTONUM </w:instrText>
      </w:r>
      <w:r>
        <w:fldChar w:fldCharType="end"/>
      </w:r>
      <w:r>
        <w:t>)</w:t>
      </w:r>
    </w:p>
    <w:p>
      <w:pPr>
        <w:pStyle w:val="57"/>
        <w:ind w:firstLine="420"/>
      </w:pPr>
      <w:r>
        <w:rPr>
          <w:rFonts w:hint="eastAsia"/>
        </w:rPr>
        <w:t>式中：</w:t>
      </w:r>
    </w:p>
    <w:p>
      <w:pPr>
        <w:pStyle w:val="58"/>
        <w:ind w:left="2100" w:leftChars="200" w:hanging="1680" w:hangingChars="800"/>
        <w:rPr>
          <w:rFonts w:hAnsi="宋体" w:cs="宋体"/>
        </w:rPr>
      </w:pPr>
      <w:r>
        <w:rPr>
          <w:rFonts w:hint="eastAsia" w:hAnsi="宋体" w:cs="宋体"/>
          <w:szCs w:val="24"/>
        </w:rPr>
        <w:t>CFP</w:t>
      </w:r>
      <w:r>
        <w:rPr>
          <w:rFonts w:hint="eastAsia" w:hAnsi="宋体" w:cs="宋体"/>
          <w:szCs w:val="24"/>
          <w:vertAlign w:val="subscript"/>
        </w:rPr>
        <w:t xml:space="preserve">风力、光伏发电  </w:t>
      </w:r>
      <w:r>
        <w:rPr>
          <w:rFonts w:hAnsi="宋体" w:cs="宋体"/>
          <w:szCs w:val="24"/>
          <w:vertAlign w:val="subscript"/>
        </w:rPr>
        <w:t xml:space="preserve"> </w:t>
      </w:r>
      <w:r>
        <w:rPr>
          <w:rFonts w:ascii="Times New Roman"/>
        </w:rPr>
        <w:t>——</w:t>
      </w:r>
      <w:r>
        <w:rPr>
          <w:rFonts w:hint="eastAsia"/>
        </w:rPr>
        <w:t>风力、光伏</w:t>
      </w:r>
      <w:r>
        <w:rPr>
          <w:rFonts w:hint="eastAsia" w:hAnsi="宋体" w:cs="宋体"/>
        </w:rPr>
        <w:t>发电</w:t>
      </w:r>
      <w:r>
        <w:rPr>
          <w:rFonts w:hint="eastAsia" w:hAnsi="宋体"/>
        </w:rPr>
        <w:t>全生命周期温室气体排放因子</w:t>
      </w:r>
      <w:r>
        <w:rPr>
          <w:rFonts w:hint="eastAsia" w:hAnsi="宋体" w:cs="宋体"/>
        </w:rPr>
        <w:t>，单位为千克二氧化碳当量每千瓦时（kgCO2e/kWh）；</w:t>
      </w:r>
    </w:p>
    <w:p>
      <w:pPr>
        <w:pStyle w:val="58"/>
        <w:ind w:firstLine="420"/>
        <w:rPr>
          <w:rFonts w:hAnsi="宋体" w:cs="宋体"/>
          <w:szCs w:val="24"/>
        </w:rPr>
      </w:pPr>
      <w:r>
        <w:rPr>
          <w:rFonts w:hint="eastAsia" w:hAnsi="宋体" w:cs="宋体"/>
          <w:szCs w:val="24"/>
        </w:rPr>
        <w:t>Em</w:t>
      </w:r>
      <w:r>
        <w:rPr>
          <w:rFonts w:hint="eastAsia" w:hAnsi="宋体" w:cs="宋体"/>
          <w:szCs w:val="24"/>
          <w:vertAlign w:val="subscript"/>
        </w:rPr>
        <w:t xml:space="preserve">设备获取       </w:t>
      </w:r>
      <w:r>
        <w:rPr>
          <w:rFonts w:hAnsi="宋体" w:cs="宋体"/>
          <w:szCs w:val="24"/>
          <w:vertAlign w:val="subscript"/>
        </w:rPr>
        <w:t xml:space="preserve">   </w:t>
      </w:r>
      <w:r>
        <w:rPr>
          <w:rFonts w:ascii="Times New Roman"/>
        </w:rPr>
        <w:t>——</w:t>
      </w:r>
      <w:r>
        <w:rPr>
          <w:rFonts w:hint="eastAsia"/>
        </w:rPr>
        <w:t>风力、光伏</w:t>
      </w:r>
      <w:r>
        <w:rPr>
          <w:rFonts w:hint="eastAsia" w:hAnsi="宋体" w:cs="宋体"/>
          <w:szCs w:val="24"/>
        </w:rPr>
        <w:t>发电设备获取获取阶段碳排放量，单位为千克二氧化碳当量（kgCO2e）；</w:t>
      </w:r>
    </w:p>
    <w:p>
      <w:pPr>
        <w:pStyle w:val="58"/>
        <w:ind w:firstLine="420"/>
        <w:rPr>
          <w:rFonts w:hAnsi="宋体" w:cs="宋体"/>
          <w:szCs w:val="24"/>
        </w:rPr>
      </w:pPr>
      <w:r>
        <w:rPr>
          <w:rFonts w:hint="eastAsia" w:hAnsi="宋体" w:cs="宋体"/>
          <w:szCs w:val="24"/>
        </w:rPr>
        <w:t>Em</w:t>
      </w:r>
      <w:r>
        <w:rPr>
          <w:rFonts w:hint="eastAsia" w:hAnsi="宋体" w:cs="宋体"/>
          <w:szCs w:val="24"/>
          <w:vertAlign w:val="subscript"/>
        </w:rPr>
        <w:t xml:space="preserve">施工建设      </w:t>
      </w:r>
      <w:r>
        <w:rPr>
          <w:rFonts w:hAnsi="宋体" w:cs="宋体"/>
          <w:szCs w:val="24"/>
          <w:vertAlign w:val="subscript"/>
        </w:rPr>
        <w:t xml:space="preserve">  </w:t>
      </w:r>
      <w:r>
        <w:rPr>
          <w:rFonts w:hint="eastAsia" w:hAnsi="宋体" w:cs="宋体"/>
          <w:szCs w:val="24"/>
          <w:vertAlign w:val="subscript"/>
        </w:rPr>
        <w:t xml:space="preserve"> </w:t>
      </w:r>
      <w:r>
        <w:rPr>
          <w:rFonts w:ascii="Times New Roman"/>
        </w:rPr>
        <w:t>——</w:t>
      </w:r>
      <w:r>
        <w:rPr>
          <w:rFonts w:hint="eastAsia"/>
        </w:rPr>
        <w:t>风力、光伏</w:t>
      </w:r>
      <w:r>
        <w:rPr>
          <w:rFonts w:hint="eastAsia" w:hAnsi="宋体" w:cs="宋体"/>
          <w:szCs w:val="24"/>
        </w:rPr>
        <w:t>发电施工建设阶段碳排放量，单位为千克二氧化碳当量（kgCO2e）；</w:t>
      </w:r>
    </w:p>
    <w:p>
      <w:pPr>
        <w:pStyle w:val="58"/>
        <w:ind w:firstLine="420"/>
        <w:rPr>
          <w:rFonts w:hAnsi="宋体" w:cs="宋体"/>
        </w:rPr>
      </w:pPr>
      <w:r>
        <w:rPr>
          <w:rFonts w:hint="eastAsia" w:hAnsi="宋体" w:cs="宋体"/>
          <w:szCs w:val="24"/>
        </w:rPr>
        <w:t>Em</w:t>
      </w:r>
      <w:r>
        <w:rPr>
          <w:rFonts w:hint="eastAsia" w:hAnsi="宋体" w:cs="宋体"/>
          <w:szCs w:val="24"/>
          <w:vertAlign w:val="subscript"/>
        </w:rPr>
        <w:t xml:space="preserve">运营维护     </w:t>
      </w:r>
      <w:r>
        <w:rPr>
          <w:rFonts w:hAnsi="宋体" w:cs="宋体"/>
          <w:szCs w:val="24"/>
          <w:vertAlign w:val="subscript"/>
        </w:rPr>
        <w:t xml:space="preserve">  </w:t>
      </w:r>
      <w:r>
        <w:rPr>
          <w:rFonts w:hint="eastAsia" w:hAnsi="宋体" w:cs="宋体"/>
          <w:szCs w:val="24"/>
        </w:rPr>
        <w:t xml:space="preserve"> </w:t>
      </w:r>
      <w:r>
        <w:rPr>
          <w:rFonts w:ascii="Times New Roman"/>
        </w:rPr>
        <w:t>——</w:t>
      </w:r>
      <w:r>
        <w:rPr>
          <w:rFonts w:hint="eastAsia"/>
        </w:rPr>
        <w:t>风力、光伏</w:t>
      </w:r>
      <w:r>
        <w:rPr>
          <w:rFonts w:hint="eastAsia" w:hAnsi="宋体" w:cs="宋体"/>
        </w:rPr>
        <w:t>发电运营维护阶段碳排放量，单位为千克二氧化碳当量（kgCO2e）；</w:t>
      </w:r>
    </w:p>
    <w:p>
      <w:pPr>
        <w:pStyle w:val="58"/>
        <w:ind w:firstLine="420"/>
        <w:rPr>
          <w:rFonts w:hAnsi="宋体" w:cs="宋体"/>
          <w:szCs w:val="24"/>
        </w:rPr>
      </w:pPr>
      <w:r>
        <w:rPr>
          <w:rFonts w:hint="eastAsia" w:hAnsi="宋体" w:cs="宋体"/>
          <w:szCs w:val="24"/>
        </w:rPr>
        <w:t>Em</w:t>
      </w:r>
      <w:r>
        <w:rPr>
          <w:rFonts w:hint="eastAsia" w:hAnsi="宋体" w:cs="宋体"/>
          <w:szCs w:val="24"/>
          <w:vertAlign w:val="subscript"/>
        </w:rPr>
        <w:t xml:space="preserve">退役处置     </w:t>
      </w:r>
      <w:r>
        <w:rPr>
          <w:rFonts w:hAnsi="宋体" w:cs="宋体"/>
          <w:szCs w:val="24"/>
          <w:vertAlign w:val="subscript"/>
        </w:rPr>
        <w:t xml:space="preserve">   </w:t>
      </w:r>
      <w:r>
        <w:rPr>
          <w:rFonts w:hint="eastAsia" w:hAnsi="宋体" w:cs="宋体"/>
          <w:szCs w:val="24"/>
          <w:vertAlign w:val="subscript"/>
        </w:rPr>
        <w:t xml:space="preserve"> </w:t>
      </w:r>
      <w:r>
        <w:rPr>
          <w:rFonts w:ascii="Times New Roman"/>
        </w:rPr>
        <w:t>——</w:t>
      </w:r>
      <w:r>
        <w:rPr>
          <w:rFonts w:hint="eastAsia"/>
        </w:rPr>
        <w:t>风力、光伏</w:t>
      </w:r>
      <w:r>
        <w:rPr>
          <w:rFonts w:hint="eastAsia" w:hAnsi="宋体" w:cs="宋体"/>
          <w:szCs w:val="24"/>
        </w:rPr>
        <w:t>发电退役处置阶段碳排放量，单位为千克二氧化碳当量（kgCO2e）；</w:t>
      </w:r>
    </w:p>
    <w:p>
      <w:pPr>
        <w:pStyle w:val="58"/>
        <w:ind w:firstLine="420"/>
        <w:rPr>
          <w:rFonts w:hAnsi="宋体" w:cs="宋体"/>
        </w:rPr>
      </w:pPr>
      <w:r>
        <w:rPr>
          <w:rFonts w:hint="eastAsia" w:hAnsi="宋体" w:cs="宋体"/>
          <w:szCs w:val="24"/>
        </w:rPr>
        <w:t>E</w:t>
      </w:r>
      <w:r>
        <w:rPr>
          <w:rFonts w:hint="eastAsia" w:hAnsi="宋体" w:cs="宋体"/>
          <w:szCs w:val="24"/>
          <w:vertAlign w:val="subscript"/>
        </w:rPr>
        <w:t xml:space="preserve">上网电力        </w:t>
      </w:r>
      <w:r>
        <w:rPr>
          <w:rFonts w:hAnsi="宋体" w:cs="宋体"/>
          <w:szCs w:val="24"/>
          <w:vertAlign w:val="subscript"/>
        </w:rPr>
        <w:t xml:space="preserve">   </w:t>
      </w:r>
      <w:r>
        <w:rPr>
          <w:rFonts w:ascii="Times New Roman"/>
        </w:rPr>
        <w:t>——</w:t>
      </w:r>
      <w:r>
        <w:rPr>
          <w:rFonts w:hint="eastAsia"/>
        </w:rPr>
        <w:t>风力、光伏</w:t>
      </w:r>
      <w:r>
        <w:rPr>
          <w:rFonts w:hint="eastAsia" w:hAnsi="宋体" w:cs="宋体"/>
        </w:rPr>
        <w:t>发电全生命周期上网电量，单位为千瓦时（kWh）；</w:t>
      </w:r>
    </w:p>
    <w:p>
      <w:pPr>
        <w:pStyle w:val="67"/>
        <w:spacing w:before="120" w:after="120"/>
        <w:rPr>
          <w:rFonts w:hAnsi="黑体" w:cs="黑体"/>
        </w:rPr>
      </w:pPr>
      <w:r>
        <w:rPr>
          <w:rFonts w:hint="eastAsia" w:hAnsi="黑体" w:cs="黑体"/>
        </w:rPr>
        <w:t>直供电力</w:t>
      </w:r>
    </w:p>
    <w:p>
      <w:pPr>
        <w:pStyle w:val="58"/>
        <w:ind w:firstLine="420"/>
      </w:pPr>
      <w:r>
        <w:rPr>
          <w:rFonts w:hint="eastAsia"/>
        </w:rPr>
        <w:t>如果该组织与发电站之间具有专用输电线路，且所消耗的电力未向第三方出售，则使用该电力供应商所提供的电力全生命周期温室气体排放因子。</w:t>
      </w:r>
    </w:p>
    <w:p>
      <w:pPr>
        <w:pStyle w:val="67"/>
        <w:spacing w:before="120" w:after="120"/>
        <w:rPr>
          <w:rFonts w:hAnsi="黑体" w:cs="黑体"/>
        </w:rPr>
      </w:pPr>
      <w:r>
        <w:rPr>
          <w:rFonts w:hint="eastAsia" w:hAnsi="黑体" w:cs="黑体"/>
        </w:rPr>
        <w:t>电网电力</w:t>
      </w:r>
    </w:p>
    <w:p>
      <w:pPr>
        <w:pStyle w:val="58"/>
        <w:ind w:firstLine="420"/>
      </w:pPr>
      <w:r>
        <w:rPr>
          <w:rFonts w:hint="eastAsia"/>
        </w:rPr>
        <w:t>如果该组织通过电网获取电力，电力产品应符合GB/T 44905中7.1.5.3的要求。 并按照提供的合同、电力购买凭证、非化石能源电力证书</w:t>
      </w:r>
      <w:r>
        <w:rPr>
          <w:rFonts w:hint="eastAsia"/>
          <w:lang w:eastAsia="zh-CN"/>
        </w:rPr>
        <w:t>、</w:t>
      </w:r>
      <w:r>
        <w:rPr>
          <w:rFonts w:hint="eastAsia"/>
          <w:u w:val="none"/>
        </w:rPr>
        <w:t>绿色电力比例证明材料</w:t>
      </w:r>
      <w:r>
        <w:rPr>
          <w:rFonts w:hint="eastAsia"/>
        </w:rPr>
        <w:t>等相关证明材料，选择对应电力全生命周期温室气体排放因子。</w:t>
      </w:r>
    </w:p>
    <w:p>
      <w:pPr>
        <w:pStyle w:val="67"/>
        <w:spacing w:before="120" w:after="120"/>
        <w:rPr>
          <w:rFonts w:hAnsi="黑体" w:cs="黑体"/>
        </w:rPr>
      </w:pPr>
      <w:r>
        <w:rPr>
          <w:rFonts w:hint="eastAsia" w:hAnsi="黑体" w:cs="黑体"/>
        </w:rPr>
        <w:t>综合用电</w:t>
      </w:r>
    </w:p>
    <w:p>
      <w:pPr>
        <w:pStyle w:val="58"/>
        <w:ind w:firstLine="420"/>
      </w:pPr>
      <w:r>
        <w:rPr>
          <w:rFonts w:hint="eastAsia"/>
        </w:rPr>
        <w:t>如果该组织电力获取途径包含自备电厂、直供电力、电网电力等。则应按照电力使用比例选择对应电力全生命周期温室气体排放因子。</w:t>
      </w:r>
    </w:p>
    <w:p>
      <w:pPr>
        <w:pStyle w:val="107"/>
        <w:spacing w:before="120" w:after="120"/>
      </w:pPr>
      <w:r>
        <w:rPr>
          <w:rFonts w:hint="eastAsia"/>
        </w:rPr>
        <w:t>分配</w:t>
      </w:r>
    </w:p>
    <w:p>
      <w:pPr>
        <w:pStyle w:val="167"/>
      </w:pPr>
      <w:r>
        <w:rPr>
          <w:rFonts w:hint="eastAsia"/>
        </w:rPr>
        <w:t>分配应根据GB/T 24040及 GB/T 24044中规定的分配程序。</w:t>
      </w:r>
    </w:p>
    <w:p>
      <w:pPr>
        <w:pStyle w:val="167"/>
      </w:pPr>
      <w:r>
        <w:rPr>
          <w:rFonts w:hint="eastAsia"/>
        </w:rPr>
        <w:t>根据明确规定的分配程序将输入输出分配到不同的产品中。煤制乙二醇产品优先采用的数据分配方法如下：</w:t>
      </w:r>
    </w:p>
    <w:p>
      <w:pPr>
        <w:pStyle w:val="176"/>
        <w:numPr>
          <w:ilvl w:val="0"/>
          <w:numId w:val="47"/>
        </w:numPr>
      </w:pPr>
      <w:r>
        <w:rPr>
          <w:rFonts w:hint="eastAsia"/>
        </w:rPr>
        <w:t>细分法：将拟分配的单元过程进一步划分为两个或更多的子过程，并收集与这些子过程相关的输入输出数据；</w:t>
      </w:r>
    </w:p>
    <w:p>
      <w:pPr>
        <w:pStyle w:val="176"/>
        <w:numPr>
          <w:ilvl w:val="0"/>
          <w:numId w:val="47"/>
        </w:numPr>
      </w:pPr>
      <w:r>
        <w:rPr>
          <w:rFonts w:hint="eastAsia"/>
        </w:rPr>
        <w:t>扩展法：将产品系统加以扩展，从而抵扣声明单位等同产品生产造成的环境影响；</w:t>
      </w:r>
    </w:p>
    <w:p>
      <w:pPr>
        <w:pStyle w:val="176"/>
        <w:numPr>
          <w:ilvl w:val="0"/>
          <w:numId w:val="47"/>
        </w:numPr>
      </w:pPr>
      <w:r>
        <w:rPr>
          <w:rFonts w:hint="eastAsia"/>
        </w:rPr>
        <w:t>分配法：根据物理属性（如数量、质量、工时等）或经济价值等参数，按比例将输入输出分配到共生产品。</w:t>
      </w:r>
    </w:p>
    <w:p>
      <w:pPr>
        <w:pStyle w:val="167"/>
      </w:pPr>
      <w:r>
        <w:rPr>
          <w:rFonts w:hint="eastAsia"/>
        </w:rPr>
        <w:t>原则</w:t>
      </w:r>
      <w:r>
        <w:t>上</w:t>
      </w:r>
      <w:r>
        <w:rPr>
          <w:rFonts w:hint="eastAsia"/>
        </w:rPr>
        <w:t>尽可能避免</w:t>
      </w:r>
      <w:r>
        <w:t>分配，</w:t>
      </w:r>
      <w:r>
        <w:rPr>
          <w:rFonts w:hint="eastAsia"/>
        </w:rPr>
        <w:t>当同时有</w:t>
      </w:r>
      <w:r>
        <w:t>几种</w:t>
      </w:r>
      <w:r>
        <w:rPr>
          <w:rFonts w:hint="eastAsia"/>
        </w:rPr>
        <w:t>备选</w:t>
      </w:r>
      <w:r>
        <w:t>分配</w:t>
      </w:r>
      <w:r>
        <w:rPr>
          <w:rFonts w:hint="eastAsia"/>
        </w:rPr>
        <w:t>方式时</w:t>
      </w:r>
      <w:r>
        <w:t>，</w:t>
      </w:r>
      <w:r>
        <w:rPr>
          <w:rFonts w:hint="eastAsia"/>
        </w:rPr>
        <w:t>应通过</w:t>
      </w:r>
      <w:r>
        <w:t>敏感</w:t>
      </w:r>
      <w:r>
        <w:rPr>
          <w:rFonts w:hint="eastAsia"/>
        </w:rPr>
        <w:t>性</w:t>
      </w:r>
      <w:r>
        <w:t>分析</w:t>
      </w:r>
      <w:r>
        <w:rPr>
          <w:rFonts w:hint="eastAsia"/>
        </w:rPr>
        <w:t>阐明</w:t>
      </w:r>
      <w:r>
        <w:t>偏离</w:t>
      </w:r>
      <w:r>
        <w:rPr>
          <w:rFonts w:hint="eastAsia"/>
        </w:rPr>
        <w:t>所选方法产生的</w:t>
      </w:r>
      <w:r>
        <w:t>影响</w:t>
      </w:r>
      <w:r>
        <w:rPr>
          <w:rFonts w:hint="eastAsia"/>
        </w:rPr>
        <w:t>。</w:t>
      </w:r>
    </w:p>
    <w:p>
      <w:pPr>
        <w:pStyle w:val="106"/>
        <w:spacing w:before="240" w:after="240"/>
      </w:pPr>
      <w:bookmarkStart w:id="106" w:name="_Toc172019157"/>
      <w:bookmarkStart w:id="107" w:name="_Toc171517899"/>
      <w:bookmarkStart w:id="108" w:name="_Toc179815571"/>
      <w:bookmarkStart w:id="109" w:name="_Toc185949916"/>
      <w:bookmarkStart w:id="110" w:name="_Toc201828349"/>
      <w:bookmarkStart w:id="111" w:name="_Toc187832934"/>
      <w:bookmarkStart w:id="112" w:name="_Toc182907058"/>
      <w:bookmarkStart w:id="113" w:name="_Toc182815562"/>
      <w:bookmarkStart w:id="114" w:name="_Toc183078499"/>
      <w:bookmarkStart w:id="115" w:name="_Toc183616720"/>
      <w:bookmarkStart w:id="116" w:name="_Toc184306746"/>
      <w:bookmarkStart w:id="117" w:name="_Toc184830899"/>
      <w:bookmarkStart w:id="118" w:name="_Toc184718779"/>
      <w:bookmarkStart w:id="119" w:name="_Toc184918262"/>
      <w:bookmarkStart w:id="120" w:name="_Toc184203379"/>
      <w:bookmarkStart w:id="121" w:name="_Toc163639301"/>
      <w:bookmarkStart w:id="122" w:name="_Toc185957773"/>
      <w:bookmarkStart w:id="123" w:name="_Toc169273033"/>
      <w:bookmarkStart w:id="124" w:name="_Toc173226276"/>
      <w:bookmarkStart w:id="125" w:name="_Toc163464947"/>
      <w:bookmarkStart w:id="126" w:name="_Toc156834047"/>
      <w:bookmarkStart w:id="127" w:name="_Toc156981419"/>
      <w:bookmarkStart w:id="128" w:name="_Toc2743"/>
      <w:r>
        <w:rPr>
          <w:rFonts w:hint="eastAsia"/>
        </w:rPr>
        <w:t>数据计算</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pPr>
        <w:pStyle w:val="107"/>
        <w:spacing w:before="120" w:after="120"/>
      </w:pPr>
      <w:r>
        <w:rPr>
          <w:rFonts w:hint="eastAsia"/>
        </w:rPr>
        <w:t>计算方法</w:t>
      </w:r>
    </w:p>
    <w:p>
      <w:pPr>
        <w:pStyle w:val="58"/>
        <w:ind w:firstLine="420"/>
      </w:pPr>
      <w:r>
        <w:rPr>
          <w:rFonts w:hint="eastAsia"/>
        </w:rPr>
        <w:t>数据收集完成后，应对系统边界内每一单元过程与声明单位进行计算。计算按照以下步骤进行：</w:t>
      </w:r>
    </w:p>
    <w:p>
      <w:pPr>
        <w:pStyle w:val="176"/>
        <w:numPr>
          <w:ilvl w:val="0"/>
          <w:numId w:val="48"/>
        </w:numPr>
      </w:pPr>
      <w:r>
        <w:rPr>
          <w:rFonts w:hint="eastAsia"/>
        </w:rPr>
        <w:t>用活动水平数据乘以该活动的</w:t>
      </w:r>
      <w:r>
        <w:rPr>
          <w:rFonts w:hint="eastAsia" w:hAnsi="宋体" w:cs="宋体"/>
        </w:rPr>
        <w:t>温室气体</w:t>
      </w:r>
      <w:r>
        <w:rPr>
          <w:rFonts w:hint="eastAsia"/>
        </w:rPr>
        <w:t>排放因子，将初级数据和次级数据换算为GHG排放量，以产品每声明单位的GHG排放量的形式记录；</w:t>
      </w:r>
    </w:p>
    <w:p>
      <w:pPr>
        <w:pStyle w:val="176"/>
        <w:numPr>
          <w:ilvl w:val="0"/>
          <w:numId w:val="48"/>
        </w:numPr>
      </w:pPr>
      <w:r>
        <w:rPr>
          <w:rFonts w:hint="eastAsia"/>
        </w:rPr>
        <w:t>用具体GHG排放值乘以相应的GWP值将GHG排放量数据换算为二氧化碳当量的排放。</w:t>
      </w:r>
    </w:p>
    <w:p>
      <w:pPr>
        <w:pStyle w:val="107"/>
        <w:spacing w:before="120" w:after="120"/>
      </w:pPr>
      <w:r>
        <w:rPr>
          <w:rFonts w:hint="eastAsia"/>
        </w:rPr>
        <w:t>煤制乙二醇</w:t>
      </w:r>
      <w:r>
        <w:t>产品</w:t>
      </w:r>
      <w:r>
        <w:rPr>
          <w:rFonts w:hint="eastAsia"/>
        </w:rPr>
        <w:t>部分</w:t>
      </w:r>
      <w:r>
        <w:t>碳足迹计算</w:t>
      </w:r>
    </w:p>
    <w:p>
      <w:pPr>
        <w:pStyle w:val="67"/>
        <w:spacing w:before="120" w:after="120"/>
      </w:pPr>
      <w:r>
        <w:rPr>
          <w:rFonts w:hint="eastAsia"/>
        </w:rPr>
        <w:t>煤制乙二醇产品部分</w:t>
      </w:r>
      <w:r>
        <w:t>碳足迹</w:t>
      </w:r>
    </w:p>
    <w:p>
      <w:pPr>
        <w:pStyle w:val="67"/>
        <w:numPr>
          <w:ilvl w:val="0"/>
          <w:numId w:val="0"/>
        </w:numPr>
        <w:spacing w:before="120" w:after="120"/>
        <w:ind w:firstLine="420" w:firstLineChars="200"/>
        <w:rPr>
          <w:rFonts w:ascii="宋体" w:hAnsi="宋体" w:eastAsia="宋体"/>
        </w:rPr>
      </w:pPr>
      <w:r>
        <w:rPr>
          <w:rFonts w:hint="eastAsia" w:ascii="宋体" w:hAnsi="宋体" w:eastAsia="宋体"/>
        </w:rPr>
        <w:t>以声明单位为基准的煤制乙二醇产品部分</w:t>
      </w:r>
      <w:r>
        <w:rPr>
          <w:rFonts w:ascii="宋体" w:hAnsi="宋体" w:eastAsia="宋体"/>
        </w:rPr>
        <w:t>碳足迹</w:t>
      </w:r>
      <w:r>
        <w:rPr>
          <w:rFonts w:hint="eastAsia" w:ascii="宋体" w:hAnsi="宋体" w:eastAsia="宋体"/>
        </w:rPr>
        <w:t>，</w:t>
      </w:r>
      <w:r>
        <w:rPr>
          <w:rFonts w:ascii="宋体" w:hAnsi="宋体" w:eastAsia="宋体"/>
        </w:rPr>
        <w:t>按</w:t>
      </w:r>
      <w:r>
        <w:rPr>
          <w:rFonts w:hint="eastAsia" w:ascii="宋体" w:hAnsi="宋体" w:eastAsia="宋体"/>
        </w:rPr>
        <w:t>公式（</w:t>
      </w:r>
      <w:r>
        <w:rPr>
          <w:rFonts w:ascii="宋体" w:hAnsi="宋体" w:eastAsia="宋体"/>
        </w:rPr>
        <w:t>3</w:t>
      </w:r>
      <w:r>
        <w:rPr>
          <w:rFonts w:hint="eastAsia" w:ascii="宋体" w:hAnsi="宋体" w:eastAsia="宋体"/>
        </w:rPr>
        <w:t>）计算：</w:t>
      </w:r>
    </w:p>
    <w:p>
      <w:pPr>
        <w:pStyle w:val="115"/>
      </w:pPr>
      <w:r>
        <w:tab/>
      </w:r>
      <m:oMath>
        <m:sSub>
          <m:sSubPr>
            <m:ctrlPr>
              <w:rPr>
                <w:rFonts w:hint="eastAsia" w:ascii="Cambria Math" w:hAnsi="Cambria Math" w:cstheme="minorBidi"/>
                <w:i/>
                <w:szCs w:val="24"/>
              </w:rPr>
            </m:ctrlPr>
          </m:sSubPr>
          <m:e>
            <m:r>
              <m:rPr/>
              <w:rPr>
                <w:rFonts w:hint="eastAsia" w:ascii="Cambria Math" w:hAnsi="Cambria Math" w:cstheme="minorBidi"/>
                <w:szCs w:val="24"/>
              </w:rPr>
              <m:t>CFP</m:t>
            </m:r>
            <m:ctrlPr>
              <w:rPr>
                <w:rFonts w:hint="eastAsia" w:ascii="Cambria Math" w:hAnsi="Cambria Math" w:cstheme="minorBidi"/>
                <w:i/>
                <w:szCs w:val="24"/>
              </w:rPr>
            </m:ctrlPr>
          </m:e>
          <m:sub>
            <m:r>
              <m:rPr/>
              <w:rPr>
                <w:rFonts w:hint="eastAsia" w:ascii="Cambria Math" w:hAnsi="DejaVu Math TeX Gyre" w:cstheme="minorBidi"/>
                <w:szCs w:val="24"/>
              </w:rPr>
              <m:t>煤制乙二醇</m:t>
            </m:r>
            <m:ctrlPr>
              <w:rPr>
                <w:rFonts w:hint="eastAsia" w:ascii="Cambria Math" w:hAnsi="Cambria Math" w:cstheme="minorBidi"/>
                <w:i/>
                <w:szCs w:val="24"/>
              </w:rPr>
            </m:ctrlPr>
          </m:sub>
        </m:sSub>
        <m:r>
          <m:rPr/>
          <w:rPr>
            <w:rFonts w:ascii="Cambria Math" w:hAnsi="Cambria Math" w:cstheme="minorBidi"/>
            <w:szCs w:val="24"/>
          </w:rPr>
          <m:t>=</m:t>
        </m:r>
        <m:nary>
          <m:naryPr>
            <m:chr m:val="∑"/>
            <m:limLoc m:val="undOvr"/>
            <m:supHide m:val="true"/>
            <m:ctrlPr>
              <w:rPr>
                <w:rFonts w:ascii="Cambria Math" w:hAnsi="Cambria Math"/>
                <w:i/>
              </w:rPr>
            </m:ctrlPr>
          </m:naryPr>
          <m:sub>
            <m:r>
              <m:rPr/>
              <w:rPr>
                <w:rFonts w:hint="eastAsia" w:ascii="Cambria Math" w:hAnsi="Cambria Math"/>
              </w:rPr>
              <m:t>j</m:t>
            </m:r>
            <m:ctrlPr>
              <w:rPr>
                <w:rFonts w:ascii="Cambria Math" w:hAnsi="Cambria Math"/>
                <w:i/>
              </w:rPr>
            </m:ctrlPr>
          </m:sub>
          <m:sup>
            <m:ctrlPr>
              <w:rPr>
                <w:rFonts w:ascii="Cambria Math" w:hAnsi="Cambria Math"/>
                <w:i/>
              </w:rPr>
            </m:ctrlPr>
          </m:sup>
          <m:e>
            <m:d>
              <m:dPr>
                <m:begChr m:val="["/>
                <m:endChr m:val="]"/>
                <m:ctrlPr>
                  <w:rPr>
                    <w:rFonts w:ascii="Cambria Math" w:hAnsi="Cambria Math"/>
                    <w:i/>
                  </w:rPr>
                </m:ctrlPr>
              </m:dPr>
              <m:e>
                <m:nary>
                  <m:naryPr>
                    <m:chr m:val="∑"/>
                    <m:limLoc m:val="undOvr"/>
                    <m:supHide m:val="true"/>
                    <m:ctrlPr>
                      <w:rPr>
                        <w:rFonts w:ascii="Cambria Math" w:hAnsi="Cambria Math"/>
                        <w:i/>
                      </w:rPr>
                    </m:ctrlPr>
                  </m:naryPr>
                  <m:sub>
                    <m:r>
                      <m:rPr/>
                      <w:rPr>
                        <w:rFonts w:hint="eastAsia" w:ascii="Cambria Math" w:hAnsi="Cambria Math"/>
                      </w:rPr>
                      <m:t>i</m:t>
                    </m:r>
                    <m:ctrlPr>
                      <w:rPr>
                        <w:rFonts w:ascii="Cambria Math" w:hAnsi="Cambria Math"/>
                        <w:i/>
                      </w:rPr>
                    </m:ctrlPr>
                  </m:sub>
                  <m:sup>
                    <m:ctrlPr>
                      <w:rPr>
                        <w:rFonts w:ascii="Cambria Math" w:hAnsi="Cambria Math"/>
                        <w:i/>
                      </w:rPr>
                    </m:ctrlPr>
                  </m:sup>
                  <m:e>
                    <m:d>
                      <m:dPr>
                        <m:ctrlPr>
                          <w:rPr>
                            <w:rFonts w:ascii="Cambria Math" w:hAnsi="Cambria Math"/>
                            <w:i/>
                          </w:rPr>
                        </m:ctrlPr>
                      </m:dPr>
                      <m:e>
                        <m:sSub>
                          <m:sSubPr>
                            <m:ctrlPr>
                              <w:rPr>
                                <w:rFonts w:ascii="Cambria Math" w:hAnsi="Cambria Math"/>
                                <w:i/>
                              </w:rPr>
                            </m:ctrlPr>
                          </m:sSubPr>
                          <m:e>
                            <m:r>
                              <m:rPr/>
                              <w:rPr>
                                <w:rFonts w:hint="eastAsia" w:ascii="Cambria Math" w:hAnsi="Cambria Math"/>
                              </w:rPr>
                              <m:t>AD</m:t>
                            </m:r>
                            <m:ctrlPr>
                              <w:rPr>
                                <w:rFonts w:ascii="Cambria Math" w:hAnsi="Cambria Math"/>
                                <w:i/>
                              </w:rPr>
                            </m:ctrlPr>
                          </m:e>
                          <m:sub>
                            <m:r>
                              <m:rPr/>
                              <w:rPr>
                                <w:rFonts w:hint="eastAsia"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hint="eastAsia" w:ascii="Cambria Math" w:hAnsi="Cambria Math"/>
                              </w:rPr>
                              <m:t>EF</m:t>
                            </m:r>
                            <m:ctrlPr>
                              <w:rPr>
                                <w:rFonts w:ascii="Cambria Math" w:hAnsi="Cambria Math"/>
                                <w:i/>
                              </w:rPr>
                            </m:ctrlPr>
                          </m:e>
                          <m:sub>
                            <m:r>
                              <m:rPr/>
                              <w:rPr>
                                <w:rFonts w:hint="eastAsia" w:ascii="Cambria Math" w:hAnsi="Cambria Math"/>
                              </w:rPr>
                              <m:t>LCA,i,j</m:t>
                            </m:r>
                            <m:ctrlPr>
                              <w:rPr>
                                <w:rFonts w:ascii="Cambria Math" w:hAnsi="Cambria Math"/>
                                <w:i/>
                              </w:rPr>
                            </m:ctrlPr>
                          </m:sub>
                        </m:sSub>
                        <m:ctrlPr>
                          <w:rPr>
                            <w:rFonts w:ascii="Cambria Math" w:hAnsi="Cambria Math"/>
                            <w:i/>
                          </w:rPr>
                        </m:ctrlPr>
                      </m:e>
                    </m:d>
                    <m:ctrlPr>
                      <w:rPr>
                        <w:rFonts w:ascii="Cambria Math" w:hAnsi="Cambria Math"/>
                        <w:i/>
                      </w:rPr>
                    </m:ctrlPr>
                  </m:e>
                </m:nary>
                <m:r>
                  <m:rPr/>
                  <w:rPr>
                    <w:rFonts w:ascii="Cambria Math" w:hAnsi="Cambria Math"/>
                  </w:rPr>
                  <m:t>×</m:t>
                </m:r>
                <m:sSub>
                  <m:sSubPr>
                    <m:ctrlPr>
                      <w:rPr>
                        <w:rFonts w:ascii="Cambria Math" w:hAnsi="Cambria Math"/>
                        <w:i/>
                      </w:rPr>
                    </m:ctrlPr>
                  </m:sSubPr>
                  <m:e>
                    <m:r>
                      <m:rPr/>
                      <w:rPr>
                        <w:rFonts w:hint="eastAsia" w:ascii="Cambria Math" w:hAnsi="Cambria Math"/>
                      </w:rPr>
                      <m:t>GWP</m:t>
                    </m:r>
                    <m:ctrlPr>
                      <w:rPr>
                        <w:rFonts w:ascii="Cambria Math" w:hAnsi="Cambria Math"/>
                        <w:i/>
                      </w:rPr>
                    </m:ctrlPr>
                  </m:e>
                  <m:sub>
                    <m:r>
                      <m:rPr/>
                      <w:rPr>
                        <w:rFonts w:hint="eastAsia" w:ascii="Cambria Math" w:hAnsi="Cambria Math"/>
                      </w:rPr>
                      <m:t>j</m:t>
                    </m:r>
                    <m:ctrlPr>
                      <w:rPr>
                        <w:rFonts w:ascii="Cambria Math" w:hAnsi="Cambria Math"/>
                        <w:i/>
                      </w:rPr>
                    </m:ctrlPr>
                  </m:sub>
                </m:sSub>
                <m:ctrlPr>
                  <w:rPr>
                    <w:rFonts w:ascii="Cambria Math" w:hAnsi="Cambria Math"/>
                    <w:i/>
                  </w:rPr>
                </m:ctrlPr>
              </m:e>
            </m:d>
            <m:ctrlPr>
              <w:rPr>
                <w:rFonts w:ascii="Cambria Math" w:hAnsi="Cambria Math"/>
                <w:i/>
              </w:rPr>
            </m:ctrlPr>
          </m:e>
        </m:nary>
        <m:r>
          <m:rPr/>
          <w:rPr>
            <w:rFonts w:ascii="Cambria Math" w:hAnsi="Cambria Math" w:cstheme="minorBidi"/>
            <w:szCs w:val="24"/>
          </w:rPr>
          <m:t>=</m:t>
        </m:r>
        <m:sSub>
          <m:sSubPr>
            <m:ctrlPr>
              <w:rPr>
                <w:rFonts w:hint="eastAsia" w:ascii="Cambria Math" w:hAnsi="Cambria Math"/>
                <w:i/>
              </w:rPr>
            </m:ctrlPr>
          </m:sSubPr>
          <m:e>
            <m:r>
              <m:rPr/>
              <w:rPr>
                <w:rFonts w:hint="eastAsia" w:ascii="Cambria Math" w:hAnsi="Cambria Math"/>
              </w:rPr>
              <m:t>CFP</m:t>
            </m:r>
            <m:ctrlPr>
              <w:rPr>
                <w:rFonts w:hint="eastAsia" w:ascii="Cambria Math" w:hAnsi="Cambria Math"/>
                <w:i/>
              </w:rPr>
            </m:ctrlPr>
          </m:e>
          <m:sub>
            <m:r>
              <m:rPr/>
              <w:rPr>
                <w:rFonts w:hint="eastAsia" w:ascii="Cambria Math" w:hAnsi="Cambria Math"/>
              </w:rPr>
              <m:t>原材料</m:t>
            </m:r>
            <m:ctrlPr>
              <w:rPr>
                <w:rFonts w:hint="eastAsia" w:ascii="Cambria Math" w:hAnsi="Cambria Math"/>
                <w:i/>
              </w:rPr>
            </m:ctrlPr>
          </m:sub>
        </m:sSub>
        <m:r>
          <m:rPr/>
          <w:rPr>
            <w:rFonts w:ascii="Cambria Math" w:hAnsi="Cambria Math"/>
          </w:rPr>
          <m:t>+</m:t>
        </m:r>
        <m:sSub>
          <m:sSubPr>
            <m:ctrlPr>
              <w:rPr>
                <w:rFonts w:hint="eastAsia" w:ascii="Cambria Math" w:hAnsi="Cambria Math"/>
                <w:i/>
              </w:rPr>
            </m:ctrlPr>
          </m:sSubPr>
          <m:e>
            <m:r>
              <m:rPr/>
              <w:rPr>
                <w:rFonts w:hint="eastAsia" w:ascii="Cambria Math" w:hAnsi="Cambria Math"/>
              </w:rPr>
              <m:t>CFP</m:t>
            </m:r>
            <m:ctrlPr>
              <w:rPr>
                <w:rFonts w:hint="eastAsia" w:ascii="Cambria Math" w:hAnsi="Cambria Math"/>
                <w:i/>
              </w:rPr>
            </m:ctrlPr>
          </m:e>
          <m:sub>
            <m:r>
              <m:rPr/>
              <w:rPr>
                <w:rFonts w:hint="eastAsia" w:ascii="Cambria Math" w:hAnsi="Cambria Math"/>
              </w:rPr>
              <m:t>生产</m:t>
            </m:r>
            <m:ctrlPr>
              <w:rPr>
                <w:rFonts w:hint="eastAsia" w:ascii="Cambria Math" w:hAnsi="Cambria Math"/>
                <w:i/>
              </w:rPr>
            </m:ctrlPr>
          </m:sub>
        </m:sSub>
      </m:oMath>
      <w:r>
        <w:rPr>
          <w:rFonts w:ascii="微软雅黑" w:hAnsi="微软雅黑" w:eastAsia="微软雅黑"/>
        </w:rPr>
        <w:tab/>
      </w:r>
      <w:r>
        <w:t>(</w:t>
      </w:r>
      <w:r>
        <w:fldChar w:fldCharType="begin"/>
      </w:r>
      <w:r>
        <w:instrText xml:space="preserve"> AUTONUM </w:instrText>
      </w:r>
      <w:r>
        <w:fldChar w:fldCharType="end"/>
      </w:r>
      <w:r>
        <w:t>)</w:t>
      </w:r>
    </w:p>
    <w:p>
      <w:pPr>
        <w:pStyle w:val="57"/>
        <w:ind w:firstLine="199" w:firstLineChars="95"/>
      </w:pPr>
      <w:r>
        <w:rPr>
          <w:rFonts w:hint="eastAsia"/>
        </w:rPr>
        <w:t>式中：</w:t>
      </w:r>
    </w:p>
    <w:p>
      <w:pPr>
        <w:widowControl/>
        <w:autoSpaceDE w:val="0"/>
        <w:autoSpaceDN w:val="0"/>
        <w:adjustRightInd/>
        <w:spacing w:line="240" w:lineRule="auto"/>
        <w:ind w:left="1365" w:leftChars="100" w:hanging="1155" w:hangingChars="550"/>
        <w:rPr>
          <w:rFonts w:ascii="宋体" w:hAnsi="宋体" w:cs="宋体"/>
          <w:kern w:val="0"/>
          <w:szCs w:val="20"/>
        </w:rPr>
      </w:pPr>
      <w:r>
        <w:rPr>
          <w:rFonts w:hint="eastAsia" w:ascii="宋体" w:hAnsi="宋体" w:cs="宋体"/>
          <w:i/>
          <w:kern w:val="0"/>
          <w:szCs w:val="20"/>
        </w:rPr>
        <w:t>CFP</w:t>
      </w:r>
      <w:r>
        <w:rPr>
          <w:rFonts w:hint="eastAsia" w:ascii="宋体" w:hAnsi="宋体" w:cs="宋体"/>
          <w:i/>
          <w:kern w:val="0"/>
          <w:szCs w:val="20"/>
          <w:vertAlign w:val="subscript"/>
        </w:rPr>
        <w:t>煤制乙二醇</w:t>
      </w:r>
      <w:r>
        <w:rPr>
          <w:rFonts w:hint="eastAsia" w:ascii="宋体" w:hAnsi="宋体" w:cs="宋体"/>
          <w:kern w:val="0"/>
          <w:szCs w:val="20"/>
          <w:vertAlign w:val="subscript"/>
        </w:rPr>
        <w:t xml:space="preserve"> </w:t>
      </w:r>
      <w:r>
        <w:rPr>
          <w:rFonts w:ascii="Times New Roman" w:hAnsi="Times New Roman"/>
          <w:kern w:val="0"/>
          <w:szCs w:val="20"/>
        </w:rPr>
        <w:t>——</w:t>
      </w:r>
      <w:r>
        <w:rPr>
          <w:rFonts w:hint="eastAsia" w:ascii="Times New Roman" w:hAnsi="Times New Roman"/>
          <w:kern w:val="0"/>
          <w:szCs w:val="20"/>
        </w:rPr>
        <w:t>煤制乙二醇产品部分碳足迹，以吨二氧化碳当量每声明单位（</w:t>
      </w:r>
      <w:r>
        <w:rPr>
          <w:rFonts w:ascii="Times New Roman" w:hAnsi="Times New Roman"/>
          <w:kern w:val="0"/>
          <w:szCs w:val="20"/>
        </w:rPr>
        <w:t>t</w:t>
      </w:r>
      <w:r>
        <w:rPr>
          <w:rFonts w:hint="eastAsia" w:ascii="宋体" w:hAnsi="宋体"/>
          <w:kern w:val="0"/>
          <w:szCs w:val="20"/>
        </w:rPr>
        <w:t>CO</w:t>
      </w:r>
      <w:r>
        <w:rPr>
          <w:rFonts w:hint="eastAsia" w:ascii="Times New Roman" w:hAnsi="Times New Roman"/>
          <w:kern w:val="0"/>
          <w:szCs w:val="20"/>
          <w:vertAlign w:val="subscript"/>
        </w:rPr>
        <w:t>2</w:t>
      </w:r>
      <w:r>
        <w:rPr>
          <w:rFonts w:ascii="Times New Roman" w:hAnsi="Times New Roman"/>
          <w:kern w:val="0"/>
          <w:szCs w:val="20"/>
        </w:rPr>
        <w:t>e</w:t>
      </w:r>
      <w:r>
        <w:rPr>
          <w:rFonts w:hint="eastAsia" w:ascii="Times New Roman" w:hAnsi="Times New Roman"/>
          <w:kern w:val="0"/>
          <w:szCs w:val="20"/>
        </w:rPr>
        <w:t>/声明单位）计</w:t>
      </w:r>
      <w:r>
        <w:rPr>
          <w:rFonts w:hint="eastAsia" w:ascii="宋体" w:hAnsi="宋体" w:cs="宋体"/>
          <w:kern w:val="0"/>
          <w:szCs w:val="20"/>
        </w:rPr>
        <w:t>；</w:t>
      </w:r>
    </w:p>
    <w:p>
      <w:pPr>
        <w:widowControl/>
        <w:autoSpaceDE w:val="0"/>
        <w:autoSpaceDN w:val="0"/>
        <w:adjustRightInd/>
        <w:spacing w:line="240" w:lineRule="auto"/>
        <w:ind w:left="1470" w:leftChars="100" w:hanging="1260" w:hangingChars="600"/>
        <w:rPr>
          <w:rFonts w:ascii="宋体" w:hAnsi="宋体" w:cs="宋体"/>
          <w:kern w:val="0"/>
          <w:szCs w:val="20"/>
        </w:rPr>
      </w:pPr>
      <w:r>
        <w:rPr>
          <w:rFonts w:hint="eastAsia" w:ascii="宋体" w:hAnsi="宋体" w:cs="宋体"/>
          <w:i/>
          <w:kern w:val="0"/>
          <w:szCs w:val="20"/>
        </w:rPr>
        <w:t>AD</w:t>
      </w:r>
      <w:r>
        <w:rPr>
          <w:rFonts w:hint="eastAsia" w:ascii="宋体" w:hAnsi="宋体" w:cs="宋体"/>
          <w:i/>
          <w:kern w:val="0"/>
          <w:szCs w:val="20"/>
          <w:vertAlign w:val="subscript"/>
        </w:rPr>
        <w:t>i</w:t>
      </w:r>
      <w:r>
        <w:rPr>
          <w:rFonts w:hint="eastAsia" w:ascii="宋体" w:hAnsi="宋体" w:cs="宋体"/>
          <w:kern w:val="0"/>
          <w:szCs w:val="20"/>
          <w:vertAlign w:val="subscript"/>
        </w:rPr>
        <w:t xml:space="preserve">   </w:t>
      </w:r>
      <w:r>
        <w:rPr>
          <w:rFonts w:ascii="宋体" w:hAnsi="宋体" w:cs="宋体"/>
          <w:kern w:val="0"/>
          <w:szCs w:val="20"/>
          <w:vertAlign w:val="subscript"/>
        </w:rPr>
        <w:t xml:space="preserve"> </w:t>
      </w:r>
      <w:r>
        <w:rPr>
          <w:rFonts w:hint="eastAsia" w:ascii="宋体" w:hAnsi="宋体" w:cs="宋体"/>
          <w:kern w:val="0"/>
          <w:szCs w:val="20"/>
          <w:vertAlign w:val="subscript"/>
        </w:rPr>
        <w:t xml:space="preserve"> </w:t>
      </w:r>
      <w:r>
        <w:rPr>
          <w:rFonts w:ascii="宋体" w:hAnsi="宋体" w:cs="宋体"/>
          <w:kern w:val="0"/>
          <w:szCs w:val="20"/>
          <w:vertAlign w:val="subscript"/>
        </w:rPr>
        <w:t xml:space="preserve">     </w:t>
      </w:r>
      <w:r>
        <w:rPr>
          <w:rFonts w:ascii="Times New Roman" w:hAnsi="Times New Roman"/>
          <w:kern w:val="0"/>
          <w:szCs w:val="20"/>
        </w:rPr>
        <w:t>——</w:t>
      </w:r>
      <w:r>
        <w:rPr>
          <w:rFonts w:hint="eastAsia" w:ascii="Times New Roman" w:hAnsi="Times New Roman"/>
          <w:kern w:val="0"/>
          <w:szCs w:val="20"/>
        </w:rPr>
        <w:t>系统边界内，各声明单位中第i种活动的</w:t>
      </w:r>
      <w:r>
        <w:rPr>
          <w:rFonts w:hint="eastAsia" w:ascii="宋体" w:hAnsi="宋体" w:cs="宋体"/>
          <w:kern w:val="0"/>
          <w:szCs w:val="20"/>
        </w:rPr>
        <w:t>GHG</w:t>
      </w:r>
      <w:r>
        <w:rPr>
          <w:rFonts w:hint="eastAsia" w:ascii="Times New Roman" w:hAnsi="Times New Roman"/>
          <w:kern w:val="0"/>
          <w:szCs w:val="20"/>
        </w:rPr>
        <w:t>排放和清除相关数据（包括初级数据和次级数据），单位根据具体排放源确定；</w:t>
      </w:r>
    </w:p>
    <w:p>
      <w:pPr>
        <w:widowControl/>
        <w:autoSpaceDE w:val="0"/>
        <w:autoSpaceDN w:val="0"/>
        <w:adjustRightInd/>
        <w:spacing w:line="240" w:lineRule="auto"/>
        <w:ind w:firstLine="210" w:firstLineChars="100"/>
        <w:rPr>
          <w:rFonts w:ascii="宋体" w:hAnsi="宋体" w:cs="宋体"/>
          <w:kern w:val="0"/>
          <w:szCs w:val="20"/>
        </w:rPr>
      </w:pPr>
      <w:r>
        <w:rPr>
          <w:rFonts w:hint="eastAsia" w:ascii="宋体" w:hAnsi="宋体" w:cs="宋体"/>
          <w:i/>
          <w:kern w:val="0"/>
          <w:szCs w:val="20"/>
        </w:rPr>
        <w:t>EF</w:t>
      </w:r>
      <w:r>
        <w:rPr>
          <w:rFonts w:hint="eastAsia" w:ascii="宋体" w:hAnsi="宋体" w:cs="宋体"/>
          <w:i/>
          <w:kern w:val="0"/>
          <w:szCs w:val="20"/>
          <w:vertAlign w:val="subscript"/>
        </w:rPr>
        <w:t>LCA,i,j</w:t>
      </w:r>
      <w:r>
        <w:rPr>
          <w:rFonts w:hint="eastAsia" w:ascii="宋体" w:hAnsi="宋体" w:cs="宋体"/>
          <w:kern w:val="0"/>
          <w:szCs w:val="20"/>
        </w:rPr>
        <w:t xml:space="preserve"> </w:t>
      </w:r>
      <w:r>
        <w:rPr>
          <w:rFonts w:ascii="宋体" w:hAnsi="宋体" w:cs="宋体"/>
          <w:kern w:val="0"/>
          <w:szCs w:val="20"/>
        </w:rPr>
        <w:t xml:space="preserve"> </w:t>
      </w:r>
      <w:r>
        <w:rPr>
          <w:rFonts w:ascii="Times New Roman" w:hAnsi="Times New Roman"/>
          <w:kern w:val="0"/>
          <w:szCs w:val="20"/>
        </w:rPr>
        <w:t>——</w:t>
      </w:r>
      <w:r>
        <w:rPr>
          <w:rFonts w:hint="eastAsia" w:ascii="宋体" w:hAnsi="宋体" w:cs="宋体"/>
          <w:kern w:val="0"/>
          <w:szCs w:val="20"/>
        </w:rPr>
        <w:t>第i种活动对应的温室气体j的排放系数，单位与GHG活动数据相匹配；</w:t>
      </w:r>
    </w:p>
    <w:p>
      <w:pPr>
        <w:widowControl/>
        <w:autoSpaceDE w:val="0"/>
        <w:autoSpaceDN w:val="0"/>
        <w:adjustRightInd/>
        <w:spacing w:line="240" w:lineRule="auto"/>
        <w:ind w:firstLine="210" w:firstLineChars="100"/>
        <w:rPr>
          <w:rFonts w:ascii="宋体" w:hAnsi="宋体" w:cs="宋体"/>
          <w:kern w:val="0"/>
          <w:szCs w:val="20"/>
        </w:rPr>
      </w:pPr>
      <w:r>
        <w:rPr>
          <w:rFonts w:hint="eastAsia" w:ascii="宋体" w:hAnsi="宋体" w:cs="宋体"/>
          <w:i/>
          <w:kern w:val="0"/>
          <w:szCs w:val="20"/>
        </w:rPr>
        <w:t>GWP</w:t>
      </w:r>
      <w:r>
        <w:rPr>
          <w:rFonts w:hint="eastAsia" w:ascii="宋体" w:hAnsi="宋体" w:cs="宋体"/>
          <w:i/>
          <w:kern w:val="0"/>
          <w:szCs w:val="20"/>
          <w:vertAlign w:val="subscript"/>
        </w:rPr>
        <w:t xml:space="preserve">j </w:t>
      </w:r>
      <w:r>
        <w:rPr>
          <w:rFonts w:hint="eastAsia" w:ascii="宋体" w:hAnsi="宋体" w:cs="宋体"/>
          <w:kern w:val="0"/>
          <w:szCs w:val="20"/>
          <w:vertAlign w:val="subscript"/>
        </w:rPr>
        <w:t xml:space="preserve">  </w:t>
      </w:r>
      <w:r>
        <w:rPr>
          <w:rFonts w:ascii="宋体" w:hAnsi="宋体" w:cs="宋体"/>
          <w:kern w:val="0"/>
          <w:szCs w:val="20"/>
          <w:vertAlign w:val="subscript"/>
        </w:rPr>
        <w:t xml:space="preserve">     </w:t>
      </w:r>
      <w:r>
        <w:rPr>
          <w:rFonts w:ascii="Times New Roman" w:hAnsi="Times New Roman"/>
          <w:kern w:val="0"/>
          <w:szCs w:val="20"/>
        </w:rPr>
        <w:t>——</w:t>
      </w:r>
      <w:r>
        <w:rPr>
          <w:rFonts w:hint="eastAsia" w:ascii="宋体" w:hAnsi="宋体" w:cs="宋体"/>
          <w:kern w:val="0"/>
          <w:szCs w:val="20"/>
        </w:rPr>
        <w:t>温室气体j的GWP值。</w:t>
      </w:r>
    </w:p>
    <w:p>
      <w:pPr>
        <w:widowControl/>
        <w:autoSpaceDE w:val="0"/>
        <w:autoSpaceDN w:val="0"/>
        <w:adjustRightInd/>
        <w:spacing w:line="240" w:lineRule="auto"/>
        <w:ind w:firstLine="210" w:firstLineChars="100"/>
        <w:rPr>
          <w:rFonts w:ascii="宋体" w:hAnsi="宋体" w:cs="宋体"/>
          <w:kern w:val="0"/>
          <w:szCs w:val="20"/>
        </w:rPr>
      </w:pPr>
      <w:r>
        <w:rPr>
          <w:rFonts w:hint="eastAsia" w:ascii="宋体" w:hAnsi="宋体" w:cs="宋体"/>
          <w:i/>
          <w:kern w:val="0"/>
          <w:szCs w:val="20"/>
        </w:rPr>
        <w:t xml:space="preserve">i </w:t>
      </w:r>
      <w:r>
        <w:rPr>
          <w:rFonts w:hint="eastAsia" w:ascii="宋体" w:hAnsi="宋体" w:cs="宋体"/>
          <w:kern w:val="0"/>
          <w:szCs w:val="20"/>
        </w:rPr>
        <w:t xml:space="preserve">    </w:t>
      </w:r>
      <w:r>
        <w:rPr>
          <w:rFonts w:ascii="宋体" w:hAnsi="宋体" w:cs="宋体"/>
          <w:kern w:val="0"/>
          <w:szCs w:val="20"/>
        </w:rPr>
        <w:t xml:space="preserve">  </w:t>
      </w:r>
      <w:r>
        <w:rPr>
          <w:rFonts w:ascii="Times New Roman" w:hAnsi="Times New Roman"/>
          <w:kern w:val="0"/>
          <w:szCs w:val="20"/>
        </w:rPr>
        <w:t>——</w:t>
      </w:r>
      <w:r>
        <w:rPr>
          <w:rFonts w:hint="eastAsia" w:ascii="宋体" w:hAnsi="宋体" w:cs="宋体"/>
          <w:kern w:val="0"/>
          <w:szCs w:val="20"/>
        </w:rPr>
        <w:t>具体活动，包括：原材料和</w:t>
      </w:r>
      <w:r>
        <w:rPr>
          <w:rFonts w:ascii="宋体" w:hAnsi="宋体" w:cs="宋体"/>
          <w:kern w:val="0"/>
          <w:szCs w:val="20"/>
        </w:rPr>
        <w:t>能源</w:t>
      </w:r>
      <w:r>
        <w:rPr>
          <w:rFonts w:hint="eastAsia" w:ascii="宋体" w:hAnsi="宋体" w:cs="宋体"/>
          <w:kern w:val="0"/>
          <w:szCs w:val="20"/>
        </w:rPr>
        <w:t>获取阶段、生产阶段、其他生产阶段</w:t>
      </w:r>
    </w:p>
    <w:p>
      <w:pPr>
        <w:pStyle w:val="58"/>
        <w:ind w:left="1564" w:leftChars="95" w:hanging="1365" w:hangingChars="650"/>
        <w:rPr>
          <w:rFonts w:hAnsi="宋体"/>
        </w:rPr>
      </w:pPr>
      <w:r>
        <w:rPr>
          <w:rFonts w:hint="eastAsia" w:hAnsi="宋体" w:cs="宋体"/>
        </w:rPr>
        <w:t>CFP</w:t>
      </w:r>
      <w:r>
        <w:rPr>
          <w:rFonts w:hint="eastAsia" w:hAnsi="宋体" w:cs="宋体"/>
          <w:i/>
          <w:vertAlign w:val="subscript"/>
        </w:rPr>
        <w:t>原材料</w:t>
      </w:r>
      <w:r>
        <w:rPr>
          <w:rFonts w:hint="eastAsia" w:hAnsi="宋体" w:cs="宋体"/>
          <w:vertAlign w:val="subscript"/>
        </w:rPr>
        <w:t xml:space="preserve">  </w:t>
      </w:r>
      <w:r>
        <w:rPr>
          <w:rFonts w:hAnsi="宋体" w:cs="宋体"/>
          <w:vertAlign w:val="subscript"/>
        </w:rPr>
        <w:t xml:space="preserve"> </w:t>
      </w:r>
      <w:r>
        <w:rPr>
          <w:rFonts w:ascii="Times New Roman"/>
        </w:rPr>
        <w:t>——</w:t>
      </w:r>
      <w:r>
        <w:rPr>
          <w:rFonts w:hint="eastAsia" w:hAnsi="宋体"/>
        </w:rPr>
        <w:t>煤制乙二醇原材料产品部分碳足迹，以吨二氧化碳当量每声明单位（</w:t>
      </w:r>
      <w:r>
        <w:rPr>
          <w:rFonts w:hAnsi="宋体"/>
        </w:rPr>
        <w:t>t</w:t>
      </w:r>
      <w:r>
        <w:rPr>
          <w:rFonts w:hint="eastAsia" w:hAnsi="宋体"/>
        </w:rPr>
        <w:t>CO</w:t>
      </w:r>
      <w:r>
        <w:rPr>
          <w:rFonts w:hint="eastAsia" w:hAnsi="宋体"/>
          <w:vertAlign w:val="subscript"/>
        </w:rPr>
        <w:t>2</w:t>
      </w:r>
      <w:r>
        <w:rPr>
          <w:rFonts w:hint="eastAsia" w:hAnsi="宋体"/>
        </w:rPr>
        <w:t>e/声明单位）计；</w:t>
      </w:r>
    </w:p>
    <w:p>
      <w:pPr>
        <w:pStyle w:val="58"/>
        <w:ind w:left="1564" w:leftChars="95" w:hanging="1365" w:hangingChars="650"/>
        <w:rPr>
          <w:rFonts w:hAnsi="宋体"/>
        </w:rPr>
      </w:pPr>
      <w:r>
        <w:rPr>
          <w:rFonts w:hint="eastAsia" w:hAnsi="宋体" w:cs="宋体"/>
        </w:rPr>
        <w:t>CFP</w:t>
      </w:r>
      <w:r>
        <w:rPr>
          <w:rFonts w:hint="eastAsia" w:hAnsi="宋体" w:cs="宋体"/>
          <w:i/>
          <w:vertAlign w:val="subscript"/>
        </w:rPr>
        <w:t xml:space="preserve">生产 </w:t>
      </w:r>
      <w:r>
        <w:rPr>
          <w:rFonts w:hAnsi="宋体" w:cs="宋体"/>
          <w:i/>
          <w:vertAlign w:val="subscript"/>
        </w:rPr>
        <w:t xml:space="preserve">   </w:t>
      </w:r>
      <w:r>
        <w:rPr>
          <w:rFonts w:hint="eastAsia" w:hAnsi="宋体" w:cs="宋体"/>
          <w:i/>
          <w:vertAlign w:val="subscript"/>
        </w:rPr>
        <w:t xml:space="preserve"> </w:t>
      </w:r>
      <w:r>
        <w:rPr>
          <w:rFonts w:ascii="Times New Roman"/>
        </w:rPr>
        <w:t>——</w:t>
      </w:r>
      <w:r>
        <w:rPr>
          <w:rFonts w:hint="eastAsia" w:hAnsi="宋体"/>
        </w:rPr>
        <w:t>煤制乙二醇生产阶段产品部分碳足迹，以吨二氧化碳当量每声明单位（</w:t>
      </w:r>
      <w:r>
        <w:rPr>
          <w:rFonts w:hAnsi="宋体"/>
        </w:rPr>
        <w:t>t</w:t>
      </w:r>
      <w:r>
        <w:rPr>
          <w:rFonts w:hint="eastAsia" w:hAnsi="宋体"/>
        </w:rPr>
        <w:t>CO</w:t>
      </w:r>
      <w:r>
        <w:rPr>
          <w:rFonts w:hint="eastAsia" w:hAnsi="宋体"/>
          <w:vertAlign w:val="subscript"/>
        </w:rPr>
        <w:t>2</w:t>
      </w:r>
      <w:r>
        <w:rPr>
          <w:rFonts w:hint="eastAsia" w:hAnsi="宋体"/>
        </w:rPr>
        <w:t>e/声明单位）计</w:t>
      </w:r>
      <w:r>
        <w:rPr>
          <w:rFonts w:hAnsi="宋体"/>
        </w:rPr>
        <w:t>。</w:t>
      </w:r>
    </w:p>
    <w:p>
      <w:pPr>
        <w:pStyle w:val="67"/>
        <w:spacing w:before="120" w:after="120"/>
      </w:pPr>
      <w:r>
        <w:rPr>
          <w:rFonts w:hint="eastAsia"/>
        </w:rPr>
        <w:t>原材料和</w:t>
      </w:r>
      <w:r>
        <w:t>能源</w:t>
      </w:r>
      <w:r>
        <w:rPr>
          <w:rFonts w:hint="eastAsia"/>
        </w:rPr>
        <w:t>获取</w:t>
      </w:r>
      <w:r>
        <w:t>阶段</w:t>
      </w:r>
      <w:r>
        <w:rPr>
          <w:rFonts w:hint="eastAsia"/>
        </w:rPr>
        <w:t>产品部分</w:t>
      </w:r>
      <w:r>
        <w:t>碳足迹</w:t>
      </w:r>
    </w:p>
    <w:p>
      <w:pPr>
        <w:pStyle w:val="166"/>
      </w:pPr>
      <w:r>
        <w:rPr>
          <w:rFonts w:hint="eastAsia" w:ascii="Times New Roman"/>
        </w:rPr>
        <w:t>煤制乙二醇原材料和</w:t>
      </w:r>
      <w:r>
        <w:rPr>
          <w:rFonts w:ascii="Times New Roman"/>
        </w:rPr>
        <w:t>能源</w:t>
      </w:r>
      <w:r>
        <w:rPr>
          <w:rFonts w:hint="eastAsia" w:ascii="Times New Roman"/>
        </w:rPr>
        <w:t>获取阶段产品部分碳足迹，按公式</w:t>
      </w:r>
      <w:r>
        <w:rPr>
          <w:rFonts w:hint="eastAsia"/>
        </w:rPr>
        <w:t>（</w:t>
      </w:r>
      <w:r>
        <w:t>4</w:t>
      </w:r>
      <w:r>
        <w:rPr>
          <w:rFonts w:hint="eastAsia"/>
        </w:rPr>
        <w:t>）</w:t>
      </w:r>
      <w:r>
        <w:rPr>
          <w:rFonts w:hint="eastAsia" w:ascii="Times New Roman"/>
        </w:rPr>
        <w:t>计算：</w:t>
      </w:r>
    </w:p>
    <w:p>
      <w:pPr>
        <w:pStyle w:val="115"/>
      </w:pPr>
      <w:r>
        <w:tab/>
      </w:r>
      <m:oMath>
        <m:sSub>
          <m:sSubPr>
            <m:ctrlPr>
              <w:rPr>
                <w:rFonts w:hint="eastAsia" w:ascii="Cambria Math" w:hAnsi="Cambria Math"/>
                <w:i/>
              </w:rPr>
            </m:ctrlPr>
          </m:sSubPr>
          <m:e>
            <m:r>
              <m:rPr/>
              <w:rPr>
                <w:rFonts w:hint="eastAsia" w:ascii="Cambria Math" w:hAnsi="Cambria Math"/>
              </w:rPr>
              <m:t>CFP</m:t>
            </m:r>
            <m:ctrlPr>
              <w:rPr>
                <w:rFonts w:hint="eastAsia" w:ascii="Cambria Math" w:hAnsi="Cambria Math"/>
                <w:i/>
              </w:rPr>
            </m:ctrlPr>
          </m:e>
          <m:sub>
            <m:r>
              <m:rPr/>
              <w:rPr>
                <w:rFonts w:hint="eastAsia" w:ascii="Cambria Math" w:hAnsi="Cambria Math"/>
              </w:rPr>
              <m:t>原材料</m:t>
            </m:r>
            <m:ctrlPr>
              <w:rPr>
                <w:rFonts w:hint="eastAsia" w:ascii="Cambria Math" w:hAnsi="Cambria Math"/>
                <w:i/>
              </w:rPr>
            </m:ctrlPr>
          </m:sub>
        </m:sSub>
        <m:r>
          <m:rPr/>
          <w:rPr>
            <w:rFonts w:hint="eastAsia" w:ascii="Cambria Math" w:hAnsi="Cambria Math"/>
          </w:rPr>
          <m:t>=</m:t>
        </m:r>
        <m:d>
          <m:dPr>
            <m:begChr m:val="["/>
            <m:endChr m:val="]"/>
            <m:ctrlPr>
              <w:rPr>
                <w:rFonts w:ascii="Cambria Math" w:hAnsi="Cambria Math"/>
                <w:i/>
              </w:rPr>
            </m:ctrlPr>
          </m:dPr>
          <m:e>
            <m:d>
              <m:dPr>
                <m:ctrlPr>
                  <w:rPr>
                    <w:rFonts w:hint="eastAsia" w:ascii="Cambria Math" w:hAnsi="Cambria Math"/>
                    <w:i/>
                  </w:rPr>
                </m:ctrlPr>
              </m:dPr>
              <m:e>
                <m:sSub>
                  <m:sSubPr>
                    <m:ctrlPr>
                      <w:rPr>
                        <w:rFonts w:hint="eastAsia" w:ascii="Cambria Math" w:hAnsi="Cambria Math"/>
                        <w:i/>
                      </w:rPr>
                    </m:ctrlPr>
                  </m:sSubPr>
                  <m:e>
                    <m:r>
                      <m:rPr/>
                      <w:rPr>
                        <w:rFonts w:hint="eastAsia" w:ascii="Cambria Math" w:hAnsi="Cambria Math"/>
                      </w:rPr>
                      <m:t>E</m:t>
                    </m:r>
                    <m:ctrlPr>
                      <w:rPr>
                        <w:rFonts w:hint="eastAsia" w:ascii="Cambria Math" w:hAnsi="Cambria Math"/>
                        <w:i/>
                      </w:rPr>
                    </m:ctrlPr>
                  </m:e>
                  <m:sub>
                    <m:r>
                      <m:rPr/>
                      <w:rPr>
                        <w:rFonts w:hint="eastAsia" w:ascii="Cambria Math" w:hAnsi="Cambria Math"/>
                      </w:rPr>
                      <m:t>能源</m:t>
                    </m:r>
                    <m:r>
                      <m:rPr/>
                      <w:rPr>
                        <w:rFonts w:ascii="Cambria Math" w:hAnsi="Cambria Math"/>
                      </w:rPr>
                      <m:t>,</m:t>
                    </m:r>
                    <m:r>
                      <m:rPr/>
                      <w:rPr>
                        <w:rFonts w:hint="eastAsia" w:ascii="Cambria Math" w:hAnsi="Cambria Math"/>
                      </w:rPr>
                      <m:t>原</m:t>
                    </m:r>
                    <m:ctrlPr>
                      <w:rPr>
                        <w:rFonts w:hint="eastAsia"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运输</m:t>
                    </m:r>
                    <m:r>
                      <m:rPr/>
                      <w:rPr>
                        <w:rFonts w:ascii="Cambria Math" w:hAnsi="Cambria Math"/>
                      </w:rPr>
                      <m:t>,</m:t>
                    </m:r>
                    <m:r>
                      <m:rPr/>
                      <w:rPr>
                        <w:rFonts w:hint="eastAsia" w:ascii="Cambria Math" w:hAnsi="Cambria Math"/>
                      </w:rPr>
                      <m:t>原</m:t>
                    </m:r>
                    <m:ctrlPr>
                      <w:rPr>
                        <w:rFonts w:ascii="Cambria Math" w:hAnsi="Cambria Math"/>
                        <w:i/>
                      </w:rPr>
                    </m:ctrlPr>
                  </m:sub>
                </m:sSub>
                <m:r>
                  <m:rPr/>
                  <w:rPr>
                    <w:rFonts w:hint="eastAsia" w:ascii="Cambria Math" w:hAnsi="Cambria Math"/>
                  </w:rPr>
                  <m:t>+</m:t>
                </m:r>
                <m:sSub>
                  <m:sSubPr>
                    <m:ctrlPr>
                      <w:rPr>
                        <w:rFonts w:hint="eastAsia" w:ascii="Cambria Math" w:hAnsi="Cambria Math"/>
                        <w:i/>
                      </w:rPr>
                    </m:ctrlPr>
                  </m:sSubPr>
                  <m:e>
                    <m:r>
                      <m:rPr/>
                      <w:rPr>
                        <w:rFonts w:hint="eastAsia" w:ascii="Cambria Math" w:hAnsi="Cambria Math"/>
                      </w:rPr>
                      <m:t>E</m:t>
                    </m:r>
                    <m:ctrlPr>
                      <w:rPr>
                        <w:rFonts w:hint="eastAsia" w:ascii="Cambria Math" w:hAnsi="Cambria Math"/>
                        <w:i/>
                      </w:rPr>
                    </m:ctrlPr>
                  </m:e>
                  <m:sub>
                    <m:r>
                      <m:rPr/>
                      <w:rPr>
                        <w:rFonts w:hint="eastAsia" w:ascii="Cambria Math" w:hAnsi="Cambria Math"/>
                      </w:rPr>
                      <m:t>其他</m:t>
                    </m:r>
                    <m:r>
                      <m:rPr/>
                      <w:rPr>
                        <w:rFonts w:ascii="Cambria Math" w:hAnsi="Cambria Math"/>
                      </w:rPr>
                      <m:t>,</m:t>
                    </m:r>
                    <m:r>
                      <m:rPr/>
                      <w:rPr>
                        <w:rFonts w:hint="eastAsia" w:ascii="Cambria Math" w:hAnsi="Cambria Math"/>
                      </w:rPr>
                      <m:t>原</m:t>
                    </m:r>
                    <m:ctrlPr>
                      <w:rPr>
                        <w:rFonts w:hint="eastAsia" w:ascii="Cambria Math" w:hAnsi="Cambria Math"/>
                        <w:i/>
                      </w:rPr>
                    </m:ctrlPr>
                  </m:sub>
                </m:sSub>
                <m:ctrlPr>
                  <w:rPr>
                    <w:rFonts w:hint="eastAsia" w:ascii="Cambria Math" w:hAnsi="Cambria Math"/>
                    <w:i/>
                  </w:rPr>
                </m:ctrlPr>
              </m:e>
            </m:d>
            <m:r>
              <m:rPr/>
              <w:rPr>
                <w:rFonts w:hint="eastAsia" w:ascii="Cambria Math" w:hAnsi="Cambria Math"/>
              </w:rPr>
              <m:t>/</m:t>
            </m:r>
            <m:sSub>
              <m:sSubPr>
                <m:ctrlPr>
                  <w:rPr>
                    <w:rFonts w:hint="eastAsia" w:ascii="Cambria Math" w:hAnsi="Cambria Math"/>
                    <w:i/>
                  </w:rPr>
                </m:ctrlPr>
              </m:sSubPr>
              <m:e>
                <m:r>
                  <m:rPr/>
                  <w:rPr>
                    <w:rFonts w:hint="eastAsia" w:ascii="Cambria Math" w:hAnsi="Cambria Math"/>
                  </w:rPr>
                  <m:t>P</m:t>
                </m:r>
                <m:ctrlPr>
                  <w:rPr>
                    <w:rFonts w:hint="eastAsia" w:ascii="Cambria Math" w:hAnsi="Cambria Math"/>
                    <w:i/>
                  </w:rPr>
                </m:ctrlPr>
              </m:e>
              <m:sub>
                <m:r>
                  <m:rPr/>
                  <w:rPr>
                    <w:rFonts w:hint="eastAsia" w:ascii="Cambria Math" w:hAnsi="Cambria Math"/>
                  </w:rPr>
                  <m:t>煤制乙二醇</m:t>
                </m:r>
                <m:ctrlPr>
                  <w:rPr>
                    <w:rFonts w:hint="eastAsia" w:ascii="Cambria Math" w:hAnsi="Cambria Math"/>
                    <w:i/>
                  </w:rPr>
                </m:ctrlPr>
              </m:sub>
            </m:sSub>
            <m:ctrlPr>
              <w:rPr>
                <w:rFonts w:ascii="Cambria Math" w:hAnsi="Cambria Math"/>
                <w:i/>
              </w:rPr>
            </m:ctrlPr>
          </m:e>
        </m:d>
        <m:r>
          <m:rPr/>
          <w:rPr>
            <w:rFonts w:ascii="Cambria Math" w:hAnsi="Cambria Math"/>
          </w:rPr>
          <m:t>×</m:t>
        </m:r>
        <m:sSub>
          <m:sSubPr>
            <m:ctrlPr>
              <w:rPr>
                <w:rFonts w:ascii="Cambria Math" w:hAnsi="Cambria Math"/>
                <w:i/>
              </w:rPr>
            </m:ctrlPr>
          </m:sSubPr>
          <m:e>
            <m:r>
              <m:rPr/>
              <w:rPr>
                <w:rFonts w:ascii="Cambria Math" w:hAnsi="Cambria Math"/>
              </w:rPr>
              <m:t>GWP</m:t>
            </m:r>
            <m:ctrlPr>
              <w:rPr>
                <w:rFonts w:ascii="Cambria Math" w:hAnsi="Cambria Math"/>
                <w:i/>
              </w:rPr>
            </m:ctrlPr>
          </m:e>
          <m:sub>
            <m:r>
              <m:rPr/>
              <w:rPr>
                <w:rFonts w:ascii="Cambria Math" w:hAnsi="Cambria Math"/>
              </w:rPr>
              <m:t>j</m:t>
            </m:r>
            <m:ctrlPr>
              <w:rPr>
                <w:rFonts w:ascii="Cambria Math" w:hAnsi="Cambria Math"/>
                <w:i/>
              </w:rPr>
            </m:ctrlPr>
          </m:sub>
        </m:sSub>
      </m:oMath>
      <w:r>
        <w:rPr>
          <w:rFonts w:ascii="微软雅黑" w:hAnsi="微软雅黑" w:eastAsia="微软雅黑"/>
        </w:rPr>
        <w:tab/>
      </w:r>
      <w:r>
        <w:t>(</w:t>
      </w:r>
      <w:r>
        <w:fldChar w:fldCharType="begin"/>
      </w:r>
      <w:r>
        <w:instrText xml:space="preserve"> AUTONUM </w:instrText>
      </w:r>
      <w:r>
        <w:fldChar w:fldCharType="end"/>
      </w:r>
      <w:r>
        <w:t>)</w:t>
      </w:r>
    </w:p>
    <w:p>
      <w:pPr>
        <w:pStyle w:val="58"/>
        <w:ind w:firstLine="199" w:firstLineChars="95"/>
        <w:rPr>
          <w:rFonts w:ascii="Times New Roman"/>
        </w:rPr>
      </w:pPr>
      <w:r>
        <w:rPr>
          <w:rFonts w:hint="eastAsia" w:ascii="Times New Roman"/>
        </w:rPr>
        <w:t>式中：</w:t>
      </w:r>
    </w:p>
    <w:p>
      <w:pPr>
        <w:pStyle w:val="58"/>
        <w:ind w:left="1470" w:leftChars="100" w:right="315" w:rightChars="150" w:hanging="1260" w:hangingChars="600"/>
        <w:rPr>
          <w:rFonts w:ascii="Times New Roman"/>
        </w:rPr>
      </w:pPr>
      <w:r>
        <w:rPr>
          <w:rFonts w:hint="eastAsia" w:hAnsi="宋体" w:cs="宋体"/>
          <w:i/>
          <w:szCs w:val="24"/>
        </w:rPr>
        <w:t>CFP</w:t>
      </w:r>
      <w:r>
        <w:rPr>
          <w:rFonts w:hint="eastAsia" w:hAnsi="宋体" w:cs="宋体"/>
          <w:i/>
          <w:szCs w:val="24"/>
          <w:vertAlign w:val="subscript"/>
        </w:rPr>
        <w:t>原材料</w:t>
      </w:r>
      <w:r>
        <w:rPr>
          <w:rFonts w:hint="eastAsia" w:ascii="Times New Roman"/>
          <w:kern w:val="2"/>
          <w:szCs w:val="24"/>
        </w:rPr>
        <w:t xml:space="preserve"> </w:t>
      </w:r>
      <w:r>
        <w:rPr>
          <w:rFonts w:ascii="Times New Roman"/>
        </w:rPr>
        <w:t>——</w:t>
      </w:r>
      <w:r>
        <w:rPr>
          <w:rFonts w:hint="eastAsia" w:hAnsi="宋体" w:cs="宋体"/>
        </w:rPr>
        <w:t>原材料和</w:t>
      </w:r>
      <w:r>
        <w:rPr>
          <w:rFonts w:hAnsi="宋体" w:cs="宋体"/>
        </w:rPr>
        <w:t>能源</w:t>
      </w:r>
      <w:r>
        <w:rPr>
          <w:rFonts w:hint="eastAsia" w:hAnsi="宋体" w:cs="宋体"/>
        </w:rPr>
        <w:t>获取阶段产品部分</w:t>
      </w:r>
      <w:r>
        <w:rPr>
          <w:rFonts w:hAnsi="宋体" w:cs="宋体"/>
        </w:rPr>
        <w:t>碳足迹</w:t>
      </w:r>
      <w:r>
        <w:rPr>
          <w:rFonts w:hint="eastAsia" w:hAnsi="宋体" w:cs="宋体"/>
        </w:rPr>
        <w:t>，单位为吨二氧化碳当量每声明单位</w:t>
      </w:r>
      <w:r>
        <w:rPr>
          <w:rFonts w:hint="eastAsia" w:hAnsi="宋体"/>
        </w:rPr>
        <w:t>（</w:t>
      </w:r>
      <w:r>
        <w:rPr>
          <w:rFonts w:hAnsi="宋体"/>
        </w:rPr>
        <w:t>t</w:t>
      </w:r>
      <w:r>
        <w:rPr>
          <w:rFonts w:hint="eastAsia" w:hAnsi="宋体"/>
        </w:rPr>
        <w:t>CO</w:t>
      </w:r>
      <w:r>
        <w:rPr>
          <w:rFonts w:hint="eastAsia" w:hAnsi="宋体"/>
          <w:vertAlign w:val="subscript"/>
        </w:rPr>
        <w:t>2</w:t>
      </w:r>
      <w:r>
        <w:rPr>
          <w:rFonts w:hint="eastAsia" w:hAnsi="宋体"/>
        </w:rPr>
        <w:t>e/声明单位）</w:t>
      </w:r>
      <w:r>
        <w:rPr>
          <w:rFonts w:hint="eastAsia" w:ascii="Times New Roman"/>
        </w:rPr>
        <w:t>；</w:t>
      </w:r>
    </w:p>
    <w:p>
      <w:pPr>
        <w:widowControl/>
        <w:autoSpaceDE w:val="0"/>
        <w:autoSpaceDN w:val="0"/>
        <w:ind w:left="1365" w:leftChars="100" w:hanging="1155" w:hangingChars="550"/>
        <w:rPr>
          <w:rFonts w:ascii="Times New Roman" w:hAnsi="Times New Roman"/>
          <w:kern w:val="0"/>
        </w:rPr>
      </w:pPr>
      <w:r>
        <w:rPr>
          <w:rFonts w:hint="eastAsia" w:ascii="宋体" w:hAnsi="宋体" w:cs="宋体"/>
          <w:i/>
          <w:szCs w:val="24"/>
        </w:rPr>
        <w:t>E</w:t>
      </w:r>
      <w:r>
        <w:rPr>
          <w:rFonts w:hint="eastAsia" w:ascii="宋体" w:hAnsi="宋体" w:cs="宋体"/>
          <w:i/>
          <w:szCs w:val="24"/>
          <w:vertAlign w:val="subscript"/>
        </w:rPr>
        <w:t>能源,原</w:t>
      </w:r>
      <w:r>
        <w:rPr>
          <w:rFonts w:hint="eastAsia" w:ascii="宋体" w:hAnsi="宋体" w:cs="宋体"/>
          <w:szCs w:val="24"/>
          <w:vertAlign w:val="subscript"/>
        </w:rPr>
        <w:t xml:space="preserve"> </w:t>
      </w:r>
      <w:r>
        <w:rPr>
          <w:rFonts w:hint="eastAsia" w:ascii="Times New Roman" w:hAnsi="Times New Roman"/>
          <w:kern w:val="0"/>
        </w:rPr>
        <w:t xml:space="preserve"> </w:t>
      </w:r>
      <w:r>
        <w:rPr>
          <w:rFonts w:ascii="Times New Roman" w:hAnsi="Times New Roman"/>
          <w:kern w:val="0"/>
        </w:rPr>
        <w:t xml:space="preserve"> ——</w:t>
      </w:r>
      <w:r>
        <w:rPr>
          <w:rFonts w:hint="eastAsia" w:ascii="宋体" w:hAnsi="宋体" w:cs="宋体"/>
          <w:kern w:val="0"/>
        </w:rPr>
        <w:t>原材料</w:t>
      </w:r>
      <w:r>
        <w:rPr>
          <w:rFonts w:hint="eastAsia" w:hAnsi="宋体" w:cs="宋体"/>
        </w:rPr>
        <w:t>和</w:t>
      </w:r>
      <w:r>
        <w:rPr>
          <w:rFonts w:hAnsi="宋体" w:cs="宋体"/>
        </w:rPr>
        <w:t>能源</w:t>
      </w:r>
      <w:r>
        <w:rPr>
          <w:rFonts w:hint="eastAsia" w:ascii="宋体" w:hAnsi="宋体" w:cs="宋体"/>
          <w:kern w:val="0"/>
        </w:rPr>
        <w:t>获取阶段能源投入所产生的温室气体排放量</w:t>
      </w:r>
      <w:r>
        <w:rPr>
          <w:rFonts w:hint="eastAsia" w:ascii="Times New Roman" w:hAnsi="Times New Roman"/>
          <w:kern w:val="0"/>
        </w:rPr>
        <w:t>，单位为</w:t>
      </w:r>
      <w:r>
        <w:rPr>
          <w:rFonts w:hint="eastAsia" w:ascii="Times New Roman"/>
        </w:rPr>
        <w:t>吨</w:t>
      </w:r>
      <w:r>
        <w:rPr>
          <w:rFonts w:hint="eastAsia" w:ascii="Times New Roman" w:hAnsi="Times New Roman"/>
          <w:kern w:val="0"/>
        </w:rPr>
        <w:t>二氧化碳当量（</w:t>
      </w:r>
      <w:r>
        <w:rPr>
          <w:rFonts w:ascii="宋体" w:hAnsi="宋体"/>
        </w:rPr>
        <w:t>tCO</w:t>
      </w:r>
      <w:r>
        <w:rPr>
          <w:rFonts w:ascii="宋体" w:hAnsi="宋体"/>
          <w:vertAlign w:val="subscript"/>
        </w:rPr>
        <w:t>2</w:t>
      </w:r>
      <w:r>
        <w:rPr>
          <w:rFonts w:ascii="宋体" w:hAnsi="宋体"/>
        </w:rPr>
        <w:t>e</w:t>
      </w:r>
      <w:r>
        <w:rPr>
          <w:rFonts w:hint="eastAsia" w:ascii="Times New Roman" w:hAnsi="Times New Roman"/>
          <w:kern w:val="0"/>
        </w:rPr>
        <w:t>)；</w:t>
      </w:r>
    </w:p>
    <w:p>
      <w:pPr>
        <w:widowControl/>
        <w:autoSpaceDE w:val="0"/>
        <w:autoSpaceDN w:val="0"/>
        <w:rPr>
          <w:rFonts w:ascii="Times New Roman" w:hAnsi="Times New Roman"/>
          <w:kern w:val="0"/>
        </w:rPr>
      </w:pPr>
      <w:r>
        <w:rPr>
          <w:rFonts w:ascii="Times New Roman" w:hAnsi="Times New Roman"/>
          <w:kern w:val="0"/>
        </w:rPr>
        <w:t xml:space="preserve"> </w:t>
      </w:r>
      <w:r>
        <w:rPr>
          <w:rFonts w:ascii="Times New Roman" w:hAnsi="Times New Roman"/>
          <w:i/>
          <w:kern w:val="0"/>
        </w:rPr>
        <w:t xml:space="preserve"> </w:t>
      </w:r>
      <m:oMath>
        <m:r>
          <m:rPr/>
          <w:rPr>
            <w:rFonts w:ascii="Cambria Math" w:hAnsi="Cambria Math" w:cs="宋体"/>
            <w:szCs w:val="24"/>
          </w:rPr>
          <m:t>E</m:t>
        </m:r>
      </m:oMath>
      <w:r>
        <w:rPr>
          <w:rFonts w:hint="eastAsia" w:ascii="宋体" w:hAnsi="宋体" w:cs="宋体"/>
          <w:i/>
          <w:szCs w:val="24"/>
          <w:vertAlign w:val="subscript"/>
        </w:rPr>
        <w:t xml:space="preserve">运输,原    </w:t>
      </w:r>
      <w:r>
        <w:rPr>
          <w:rFonts w:ascii="宋体" w:hAnsi="宋体" w:cs="宋体"/>
          <w:i/>
          <w:szCs w:val="24"/>
          <w:vertAlign w:val="subscript"/>
        </w:rPr>
        <w:t xml:space="preserve"> </w:t>
      </w:r>
      <w:r>
        <w:rPr>
          <w:rFonts w:ascii="Times New Roman" w:hAnsi="Times New Roman"/>
          <w:kern w:val="0"/>
        </w:rPr>
        <w:t>——</w:t>
      </w:r>
      <w:r>
        <w:rPr>
          <w:rFonts w:hint="eastAsia" w:ascii="宋体" w:hAnsi="宋体" w:cs="宋体"/>
          <w:kern w:val="0"/>
        </w:rPr>
        <w:t>原材料</w:t>
      </w:r>
      <w:r>
        <w:rPr>
          <w:rFonts w:hint="eastAsia" w:hAnsi="宋体" w:cs="宋体"/>
        </w:rPr>
        <w:t>和</w:t>
      </w:r>
      <w:r>
        <w:rPr>
          <w:rFonts w:hAnsi="宋体" w:cs="宋体"/>
        </w:rPr>
        <w:t>能源</w:t>
      </w:r>
      <w:r>
        <w:rPr>
          <w:rFonts w:hint="eastAsia" w:ascii="宋体" w:hAnsi="宋体" w:cs="宋体"/>
          <w:kern w:val="0"/>
        </w:rPr>
        <w:t>获取阶段运输产生的温室气体排放量，单位为吨二氧化碳（</w:t>
      </w:r>
      <w:r>
        <w:rPr>
          <w:rFonts w:ascii="宋体" w:hAnsi="宋体" w:cs="宋体"/>
        </w:rPr>
        <w:t>t</w:t>
      </w:r>
      <w:r>
        <w:rPr>
          <w:rFonts w:hint="eastAsia" w:ascii="宋体" w:hAnsi="宋体" w:cs="宋体"/>
        </w:rPr>
        <w:t>CO</w:t>
      </w:r>
      <w:r>
        <w:rPr>
          <w:rFonts w:hint="eastAsia" w:ascii="宋体" w:hAnsi="宋体" w:cs="宋体"/>
          <w:vertAlign w:val="subscript"/>
        </w:rPr>
        <w:t>2</w:t>
      </w:r>
      <w:r>
        <w:rPr>
          <w:rFonts w:hint="eastAsia" w:ascii="宋体" w:hAnsi="宋体" w:cs="宋体"/>
        </w:rPr>
        <w:t>)</w:t>
      </w:r>
      <w:r>
        <w:rPr>
          <w:rFonts w:hint="eastAsia" w:ascii="Times New Roman" w:hAnsi="Times New Roman"/>
          <w:kern w:val="0"/>
        </w:rPr>
        <w:t>；</w:t>
      </w:r>
    </w:p>
    <w:p>
      <w:pPr>
        <w:pStyle w:val="58"/>
        <w:ind w:left="1470" w:leftChars="100" w:right="315" w:rightChars="150" w:hanging="1260" w:hangingChars="600"/>
        <w:rPr>
          <w:rFonts w:ascii="Times New Roman"/>
        </w:rPr>
      </w:pPr>
      <w:r>
        <w:rPr>
          <w:rFonts w:hint="eastAsia" w:hAnsi="宋体" w:cs="宋体"/>
          <w:i/>
          <w:szCs w:val="24"/>
        </w:rPr>
        <w:t>E</w:t>
      </w:r>
      <w:r>
        <w:rPr>
          <w:rFonts w:hint="eastAsia" w:hAnsi="宋体" w:cs="宋体"/>
          <w:i/>
          <w:szCs w:val="24"/>
          <w:vertAlign w:val="subscript"/>
        </w:rPr>
        <w:t xml:space="preserve">其他,原   </w:t>
      </w:r>
      <w:r>
        <w:rPr>
          <w:rFonts w:hAnsi="宋体" w:cs="宋体"/>
          <w:i/>
          <w:szCs w:val="24"/>
          <w:vertAlign w:val="subscript"/>
        </w:rPr>
        <w:t xml:space="preserve"> </w:t>
      </w:r>
      <w:r>
        <w:rPr>
          <w:rFonts w:ascii="Times New Roman"/>
        </w:rPr>
        <w:t>——</w:t>
      </w:r>
      <w:r>
        <w:rPr>
          <w:rFonts w:hint="eastAsia" w:hAnsi="宋体" w:cs="宋体"/>
        </w:rPr>
        <w:t>原材料和</w:t>
      </w:r>
      <w:r>
        <w:rPr>
          <w:rFonts w:hAnsi="宋体" w:cs="宋体"/>
        </w:rPr>
        <w:t>能源</w:t>
      </w:r>
      <w:r>
        <w:rPr>
          <w:rFonts w:hint="eastAsia" w:hAnsi="宋体" w:cs="宋体"/>
        </w:rPr>
        <w:t>获取阶段所产生的除上述排放范围以外的温室气体排放量，单位为吨二氧化碳（</w:t>
      </w:r>
      <w:r>
        <w:rPr>
          <w:rFonts w:hAnsi="宋体" w:cs="宋体"/>
        </w:rPr>
        <w:t>t</w:t>
      </w:r>
      <w:r>
        <w:rPr>
          <w:rFonts w:hint="eastAsia" w:hAnsi="宋体" w:cs="宋体"/>
        </w:rPr>
        <w:t>CO</w:t>
      </w:r>
      <w:r>
        <w:rPr>
          <w:rFonts w:hint="eastAsia" w:hAnsi="宋体" w:cs="宋体"/>
          <w:vertAlign w:val="subscript"/>
        </w:rPr>
        <w:t>2</w:t>
      </w:r>
      <w:r>
        <w:rPr>
          <w:rFonts w:hint="eastAsia" w:hAnsi="宋体" w:cs="宋体"/>
        </w:rPr>
        <w:t>)；</w:t>
      </w:r>
    </w:p>
    <w:p>
      <w:pPr>
        <w:pStyle w:val="58"/>
        <w:ind w:firstLine="199" w:firstLineChars="95"/>
        <w:rPr>
          <w:rFonts w:hAnsi="宋体" w:cs="宋体"/>
        </w:rPr>
      </w:pPr>
      <w:r>
        <w:rPr>
          <w:rFonts w:hint="eastAsia" w:hAnsi="宋体" w:cs="宋体"/>
          <w:i/>
          <w:szCs w:val="24"/>
        </w:rPr>
        <w:t>P</w:t>
      </w:r>
      <w:r>
        <w:rPr>
          <w:rFonts w:hint="eastAsia" w:hAnsi="宋体" w:cs="宋体"/>
          <w:i/>
          <w:szCs w:val="24"/>
          <w:vertAlign w:val="subscript"/>
        </w:rPr>
        <w:t>煤制乙二醇</w:t>
      </w:r>
      <w:r>
        <w:rPr>
          <w:rFonts w:hint="eastAsia" w:hAnsi="宋体" w:cs="宋体"/>
          <w:szCs w:val="24"/>
          <w:vertAlign w:val="subscript"/>
        </w:rPr>
        <w:t xml:space="preserve">  </w:t>
      </w:r>
      <w:r>
        <w:rPr>
          <w:rFonts w:hAnsi="宋体" w:cs="宋体"/>
          <w:szCs w:val="24"/>
          <w:vertAlign w:val="subscript"/>
        </w:rPr>
        <w:t xml:space="preserve">   </w:t>
      </w:r>
      <w:r>
        <w:rPr>
          <w:rFonts w:ascii="Times New Roman"/>
        </w:rPr>
        <w:t>——</w:t>
      </w:r>
      <w:r>
        <w:rPr>
          <w:rFonts w:hint="eastAsia" w:hAnsi="宋体" w:cs="宋体"/>
        </w:rPr>
        <w:t>煤制乙二醇产量，单位为吨；</w:t>
      </w:r>
    </w:p>
    <w:p>
      <w:pPr>
        <w:pStyle w:val="58"/>
        <w:ind w:firstLine="199" w:firstLineChars="95"/>
        <w:rPr>
          <w:rFonts w:hAnsi="宋体" w:cs="宋体"/>
        </w:rPr>
      </w:pPr>
      <w:r>
        <w:rPr>
          <w:rFonts w:hint="eastAsia" w:hAnsi="宋体" w:cs="宋体"/>
          <w:i/>
          <w:szCs w:val="24"/>
        </w:rPr>
        <w:t>GWP</w:t>
      </w:r>
      <w:r>
        <w:rPr>
          <w:rFonts w:hAnsi="宋体" w:cs="宋体"/>
          <w:i/>
          <w:szCs w:val="24"/>
          <w:vertAlign w:val="subscript"/>
        </w:rPr>
        <w:t xml:space="preserve">j     </w:t>
      </w:r>
      <w:r>
        <w:rPr>
          <w:rFonts w:hint="eastAsia" w:hAnsi="宋体" w:cs="宋体"/>
          <w:szCs w:val="24"/>
          <w:vertAlign w:val="subscript"/>
        </w:rPr>
        <w:t xml:space="preserve"> </w:t>
      </w:r>
      <w:r>
        <w:rPr>
          <w:rFonts w:hAnsi="宋体" w:cs="宋体"/>
          <w:szCs w:val="24"/>
          <w:vertAlign w:val="subscript"/>
        </w:rPr>
        <w:t xml:space="preserve">  </w:t>
      </w:r>
      <w:r>
        <w:rPr>
          <w:rFonts w:ascii="Times New Roman"/>
        </w:rPr>
        <w:t>——</w:t>
      </w:r>
      <w:r>
        <w:rPr>
          <w:rFonts w:hint="eastAsia" w:hAnsi="宋体" w:cs="宋体"/>
        </w:rPr>
        <w:t>温室气体j的GWP值。</w:t>
      </w:r>
    </w:p>
    <w:p>
      <w:pPr>
        <w:pStyle w:val="166"/>
      </w:pPr>
      <w:r>
        <w:rPr>
          <w:rFonts w:hint="eastAsia"/>
        </w:rPr>
        <w:t>原材料和能源获取阶段能源投入产生的温室气体排放量，按公式（</w:t>
      </w:r>
      <w:r>
        <w:t>5</w:t>
      </w:r>
      <w:r>
        <w:rPr>
          <w:rFonts w:hint="eastAsia"/>
        </w:rPr>
        <w:t>）计算：</w:t>
      </w:r>
    </w:p>
    <w:p>
      <w:pPr>
        <w:pStyle w:val="115"/>
      </w:pPr>
      <w:r>
        <w:tab/>
      </w:r>
      <m:oMath>
        <m:sSub>
          <m:sSubPr>
            <m:ctrlPr>
              <w:rPr>
                <w:rFonts w:hint="eastAsia" w:ascii="Cambria Math" w:hAnsi="Cambria Math"/>
                <w:i/>
              </w:rPr>
            </m:ctrlPr>
          </m:sSubPr>
          <m:e>
            <m:r>
              <m:rPr/>
              <w:rPr>
                <w:rFonts w:hint="eastAsia" w:ascii="Cambria Math" w:hAnsi="Cambria Math"/>
              </w:rPr>
              <m:t>E</m:t>
            </m:r>
            <m:ctrlPr>
              <w:rPr>
                <w:rFonts w:hint="eastAsia" w:ascii="Cambria Math" w:hAnsi="Cambria Math"/>
                <w:i/>
              </w:rPr>
            </m:ctrlPr>
          </m:e>
          <m:sub>
            <m:r>
              <m:rPr/>
              <w:rPr>
                <w:rFonts w:hint="eastAsia" w:ascii="Cambria Math" w:hAnsi="Cambria Math"/>
              </w:rPr>
              <m:t>能源</m:t>
            </m:r>
            <m:r>
              <m:rPr/>
              <w:rPr>
                <w:rFonts w:ascii="Cambria Math" w:hAnsi="Cambria Math"/>
              </w:rPr>
              <m:t>,</m:t>
            </m:r>
            <m:r>
              <m:rPr/>
              <w:rPr>
                <w:rFonts w:hint="eastAsia" w:ascii="Cambria Math" w:hAnsi="Cambria Math"/>
              </w:rPr>
              <m:t>原</m:t>
            </m:r>
            <m:ctrlPr>
              <w:rPr>
                <w:rFonts w:hint="eastAsia"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AD</m:t>
            </m:r>
            <m:ctrlPr>
              <w:rPr>
                <w:rFonts w:ascii="Cambria Math" w:hAnsi="Cambria Math"/>
                <w:i/>
              </w:rPr>
            </m:ctrlPr>
          </m:e>
          <m:sub>
            <m:r>
              <m:rPr/>
              <w:rPr>
                <w:rFonts w:hint="eastAsia" w:ascii="Cambria Math" w:hAnsi="Cambria Math"/>
              </w:rPr>
              <m:t>能源</m:t>
            </m:r>
            <m:r>
              <m:rPr/>
              <w:rPr>
                <w:rFonts w:ascii="Cambria Math" w:hAnsi="Cambria Math"/>
              </w:rPr>
              <m:t>,</m:t>
            </m:r>
            <m:r>
              <m:rPr/>
              <w:rPr>
                <w:rFonts w:hint="eastAsia" w:ascii="Cambria Math" w:hAnsi="Cambria Math"/>
              </w:rPr>
              <m:t>原</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sSub>
              <m:sSubPr>
                <m:ctrlPr>
                  <w:rPr>
                    <w:rFonts w:ascii="Cambria Math" w:hAnsi="Cambria Math"/>
                    <w:i/>
                  </w:rPr>
                </m:ctrlPr>
              </m:sSubPr>
              <m:e>
                <m:r>
                  <m:rPr/>
                  <w:rPr>
                    <w:rFonts w:ascii="Cambria Math" w:hAnsi="Cambria Math"/>
                  </w:rPr>
                  <m:t>LCA,</m:t>
                </m:r>
                <m:r>
                  <m:rPr/>
                  <w:rPr>
                    <w:rFonts w:hint="eastAsia" w:ascii="Cambria Math" w:hAnsi="Cambria Math"/>
                  </w:rPr>
                  <m:t>能源</m:t>
                </m:r>
                <m:r>
                  <m:rPr/>
                  <w:rPr>
                    <w:rFonts w:ascii="Cambria Math" w:hAnsi="Cambria Math"/>
                  </w:rPr>
                  <m:t>,co</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sub>
        </m:sSub>
      </m:oMath>
      <w:r>
        <w:rPr>
          <w:rFonts w:ascii="微软雅黑" w:hAnsi="微软雅黑" w:eastAsia="微软雅黑"/>
        </w:rPr>
        <w:tab/>
      </w:r>
      <w:r>
        <w:t>(</w:t>
      </w:r>
      <w:r>
        <w:fldChar w:fldCharType="begin"/>
      </w:r>
      <w:r>
        <w:instrText xml:space="preserve"> AUTONUM </w:instrText>
      </w:r>
      <w:r>
        <w:fldChar w:fldCharType="end"/>
      </w:r>
      <w:r>
        <w:t>)</w:t>
      </w:r>
    </w:p>
    <w:p>
      <w:pPr>
        <w:pStyle w:val="176"/>
        <w:numPr>
          <w:ilvl w:val="0"/>
          <w:numId w:val="0"/>
        </w:numPr>
        <w:ind w:left="424" w:leftChars="50" w:hanging="319" w:hangingChars="152"/>
      </w:pPr>
      <w:r>
        <w:rPr>
          <w:rFonts w:hint="eastAsia"/>
        </w:rPr>
        <w:t>式中：</w:t>
      </w:r>
    </w:p>
    <w:p>
      <w:pPr>
        <w:pStyle w:val="176"/>
        <w:numPr>
          <w:ilvl w:val="0"/>
          <w:numId w:val="0"/>
        </w:numPr>
        <w:ind w:left="1474" w:hanging="1474" w:hangingChars="702"/>
        <w:rPr>
          <w:rFonts w:hAnsi="宋体"/>
        </w:rPr>
      </w:pPr>
      <w:r>
        <w:rPr>
          <w:rFonts w:hint="eastAsia"/>
          <w:i/>
        </w:rPr>
        <w:t xml:space="preserve"> A</w:t>
      </w:r>
      <w:r>
        <w:rPr>
          <w:i/>
        </w:rPr>
        <w:t>d</w:t>
      </w:r>
      <w:r>
        <w:rPr>
          <w:rFonts w:hint="eastAsia"/>
          <w:i/>
          <w:vertAlign w:val="subscript"/>
        </w:rPr>
        <w:t xml:space="preserve">能源,原     </w:t>
      </w:r>
      <w:r>
        <w:rPr>
          <w:rFonts w:ascii="Times New Roman"/>
        </w:rPr>
        <w:t>——</w:t>
      </w:r>
      <w:r>
        <w:rPr>
          <w:rFonts w:hint="eastAsia" w:ascii="Times New Roman"/>
        </w:rPr>
        <w:t>原材料和</w:t>
      </w:r>
      <w:r>
        <w:rPr>
          <w:rFonts w:ascii="Times New Roman"/>
        </w:rPr>
        <w:t>能源</w:t>
      </w:r>
      <w:r>
        <w:rPr>
          <w:rFonts w:hint="eastAsia" w:ascii="Times New Roman"/>
        </w:rPr>
        <w:t>获取阶段能源</w:t>
      </w:r>
      <w:r>
        <w:rPr>
          <w:rFonts w:hint="eastAsia" w:hAnsi="宋体" w:cs="宋体"/>
        </w:rPr>
        <w:t>（燃料、电力、热力）</w:t>
      </w:r>
      <w:r>
        <w:rPr>
          <w:rFonts w:hint="eastAsia" w:hAnsi="宋体"/>
        </w:rPr>
        <w:t>投入量，单位为千克（kg)、千瓦时（KWh)和吉焦（GJ）；</w:t>
      </w:r>
    </w:p>
    <w:p>
      <w:pPr>
        <w:pStyle w:val="176"/>
        <w:numPr>
          <w:ilvl w:val="0"/>
          <w:numId w:val="0"/>
        </w:numPr>
        <w:ind w:left="424" w:leftChars="50" w:hanging="319" w:hangingChars="152"/>
        <w:rPr>
          <w:rFonts w:ascii="Times New Roman"/>
        </w:rPr>
      </w:pPr>
      <w:r>
        <w:rPr>
          <w:rFonts w:hint="eastAsia" w:hAnsi="宋体"/>
          <w:i/>
        </w:rPr>
        <w:t>EF</w:t>
      </w:r>
      <w:r>
        <w:rPr>
          <w:rFonts w:hint="eastAsia" w:hAnsi="宋体"/>
          <w:i/>
          <w:vertAlign w:val="subscript"/>
        </w:rPr>
        <w:t>LCA,能源,CO2</w:t>
      </w:r>
      <w:r>
        <w:rPr>
          <w:rFonts w:hAnsi="宋体"/>
          <w:i/>
          <w:vertAlign w:val="subscript"/>
        </w:rPr>
        <w:t xml:space="preserve">  </w:t>
      </w:r>
      <w:r>
        <w:rPr>
          <w:rFonts w:ascii="Times New Roman"/>
        </w:rPr>
        <w:t>——</w:t>
      </w:r>
      <w:r>
        <w:rPr>
          <w:rFonts w:hint="eastAsia" w:hAnsi="宋体"/>
        </w:rPr>
        <w:t>能源全生命周期</w:t>
      </w:r>
      <w:r>
        <w:rPr>
          <w:rFonts w:hint="eastAsia" w:hAnsi="宋体" w:cs="宋体"/>
        </w:rPr>
        <w:t>温室气体</w:t>
      </w:r>
      <w:r>
        <w:rPr>
          <w:rFonts w:hint="eastAsia" w:hAnsi="宋体"/>
        </w:rPr>
        <w:t>排放因子</w:t>
      </w:r>
      <w:r>
        <w:rPr>
          <w:rFonts w:hint="eastAsia" w:ascii="Times New Roman"/>
        </w:rPr>
        <w:t>。</w:t>
      </w:r>
    </w:p>
    <w:p>
      <w:pPr>
        <w:pStyle w:val="166"/>
      </w:pPr>
      <w:r>
        <w:rPr>
          <w:rFonts w:hint="eastAsia"/>
        </w:rPr>
        <w:t>原材料和</w:t>
      </w:r>
      <w:r>
        <w:t>能源</w:t>
      </w:r>
      <w:r>
        <w:rPr>
          <w:rFonts w:hint="eastAsia"/>
        </w:rPr>
        <w:t>获取阶段运输所产生的温室气体排放量，按公式（</w:t>
      </w:r>
      <w:r>
        <w:t>6</w:t>
      </w:r>
      <w:r>
        <w:rPr>
          <w:rFonts w:hint="eastAsia"/>
        </w:rPr>
        <w:t>）计算：</w:t>
      </w:r>
    </w:p>
    <w:p>
      <w:pPr>
        <w:pStyle w:val="115"/>
      </w:pPr>
      <w:r>
        <w:tab/>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运输</m:t>
            </m:r>
            <m:r>
              <m:rPr/>
              <w:rPr>
                <w:rFonts w:ascii="Cambria Math" w:hAnsi="Cambria Math"/>
              </w:rPr>
              <m:t>,</m:t>
            </m:r>
            <m:r>
              <m:rPr/>
              <w:rPr>
                <w:rFonts w:hint="eastAsia" w:ascii="Cambria Math" w:hAnsi="Cambria Math"/>
              </w:rPr>
              <m:t>原</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M</m:t>
            </m:r>
            <m:ctrlPr>
              <w:rPr>
                <w:rFonts w:ascii="Cambria Math" w:hAnsi="Cambria Math"/>
                <w:i/>
              </w:rPr>
            </m:ctrlPr>
          </m:e>
          <m:sub>
            <m:r>
              <m:rPr/>
              <w:rPr>
                <w:rFonts w:hint="eastAsia" w:ascii="Cambria Math" w:hAnsi="Cambria Math"/>
              </w:rPr>
              <m:t>运输</m:t>
            </m:r>
            <m:r>
              <m:rPr/>
              <w:rPr>
                <w:rFonts w:ascii="Cambria Math" w:hAnsi="Cambria Math"/>
              </w:rPr>
              <m:t>,</m:t>
            </m:r>
            <m:r>
              <m:rPr/>
              <w:rPr>
                <w:rFonts w:hint="eastAsia" w:ascii="Cambria Math" w:hAnsi="Cambria Math"/>
              </w:rPr>
              <m:t>原</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L</m:t>
            </m:r>
            <m:ctrlPr>
              <w:rPr>
                <w:rFonts w:ascii="Cambria Math" w:hAnsi="Cambria Math"/>
                <w:i/>
              </w:rPr>
            </m:ctrlPr>
          </m:e>
          <m:sub>
            <m:r>
              <m:rPr/>
              <w:rPr>
                <w:rFonts w:hint="eastAsia" w:ascii="Cambria Math" w:hAnsi="Cambria Math"/>
              </w:rPr>
              <m:t>运输</m:t>
            </m:r>
            <m:r>
              <m:rPr/>
              <w:rPr>
                <w:rFonts w:ascii="Cambria Math" w:hAnsi="Cambria Math"/>
              </w:rPr>
              <m:t>,</m:t>
            </m:r>
            <m:r>
              <m:rPr/>
              <w:rPr>
                <w:rFonts w:hint="eastAsia" w:ascii="Cambria Math" w:hAnsi="Cambria Math"/>
              </w:rPr>
              <m:t>原</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LCA,</m:t>
            </m:r>
            <m:r>
              <m:rPr/>
              <w:rPr>
                <w:rFonts w:hint="eastAsia" w:ascii="Cambria Math" w:hAnsi="Cambria Math"/>
              </w:rPr>
              <m:t>运输</m:t>
            </m:r>
            <m:r>
              <m:rPr/>
              <w:rPr>
                <w:rFonts w:ascii="Cambria Math" w:hAnsi="Cambria Math"/>
              </w:rPr>
              <m:t>,</m:t>
            </m:r>
            <m:sSub>
              <m:sSubPr>
                <m:ctrlPr>
                  <w:rPr>
                    <w:rFonts w:ascii="Cambria Math" w:hAnsi="Cambria Math"/>
                    <w:i/>
                  </w:rPr>
                </m:ctrlPr>
              </m:sSubPr>
              <m:e>
                <m:r>
                  <m:rPr/>
                  <w:rPr>
                    <w:rFonts w:ascii="Cambria Math" w:hAnsi="Cambria Math"/>
                  </w:rPr>
                  <m:t>CO</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sub>
        </m:sSub>
      </m:oMath>
      <w:r>
        <w:rPr>
          <w:rFonts w:ascii="微软雅黑" w:hAnsi="微软雅黑" w:eastAsia="微软雅黑"/>
        </w:rPr>
        <w:tab/>
      </w:r>
      <w:r>
        <w:t>(</w:t>
      </w:r>
      <w:r>
        <w:fldChar w:fldCharType="begin"/>
      </w:r>
      <w:r>
        <w:instrText xml:space="preserve"> AUTONUM </w:instrText>
      </w:r>
      <w:r>
        <w:fldChar w:fldCharType="end"/>
      </w:r>
      <w:r>
        <w:t>)</w:t>
      </w:r>
    </w:p>
    <w:p>
      <w:pPr>
        <w:pStyle w:val="176"/>
        <w:numPr>
          <w:ilvl w:val="0"/>
          <w:numId w:val="0"/>
        </w:numPr>
        <w:ind w:left="424" w:hanging="424" w:hangingChars="202"/>
      </w:pPr>
      <w:r>
        <w:rPr>
          <w:rFonts w:hint="eastAsia"/>
        </w:rPr>
        <w:t>式中：</w:t>
      </w:r>
    </w:p>
    <w:p>
      <w:pPr>
        <w:pStyle w:val="176"/>
        <w:numPr>
          <w:ilvl w:val="0"/>
          <w:numId w:val="0"/>
        </w:numPr>
        <w:ind w:left="424" w:hanging="424" w:hangingChars="202"/>
      </w:pPr>
      <w:r>
        <w:rPr>
          <w:rFonts w:hint="eastAsia"/>
          <w:i/>
        </w:rPr>
        <w:t>M</w:t>
      </w:r>
      <w:r>
        <w:rPr>
          <w:rFonts w:hint="eastAsia"/>
          <w:i/>
          <w:vertAlign w:val="subscript"/>
        </w:rPr>
        <w:t>运输,原</w:t>
      </w:r>
      <w:r>
        <w:rPr>
          <w:rFonts w:hint="eastAsia"/>
        </w:rPr>
        <w:t xml:space="preserve">    </w:t>
      </w:r>
      <w:r>
        <w:rPr>
          <w:rFonts w:ascii="Times New Roman"/>
        </w:rPr>
        <w:t>——</w:t>
      </w:r>
      <w:r>
        <w:rPr>
          <w:rFonts w:hint="eastAsia" w:ascii="Times New Roman"/>
        </w:rPr>
        <w:t>原材料和</w:t>
      </w:r>
      <w:r>
        <w:rPr>
          <w:rFonts w:ascii="Times New Roman"/>
        </w:rPr>
        <w:t>能源</w:t>
      </w:r>
      <w:r>
        <w:rPr>
          <w:rFonts w:hint="eastAsia" w:ascii="Times New Roman"/>
        </w:rPr>
        <w:t>获取阶段运输总重量，单位为吨</w:t>
      </w:r>
      <w:r>
        <w:rPr>
          <w:rFonts w:hint="eastAsia"/>
        </w:rPr>
        <w:t>（t）；</w:t>
      </w:r>
    </w:p>
    <w:p>
      <w:pPr>
        <w:pStyle w:val="176"/>
        <w:numPr>
          <w:ilvl w:val="0"/>
          <w:numId w:val="0"/>
        </w:numPr>
        <w:ind w:left="424" w:hanging="424" w:hangingChars="202"/>
        <w:rPr>
          <w:rFonts w:hAnsi="宋体"/>
        </w:rPr>
      </w:pPr>
      <w:r>
        <w:rPr>
          <w:rFonts w:hint="eastAsia"/>
          <w:i/>
        </w:rPr>
        <w:t>L</w:t>
      </w:r>
      <w:r>
        <w:rPr>
          <w:rFonts w:hint="eastAsia"/>
          <w:i/>
          <w:vertAlign w:val="subscript"/>
        </w:rPr>
        <w:t>运输,原</w:t>
      </w:r>
      <w:r>
        <w:rPr>
          <w:rFonts w:hint="eastAsia"/>
        </w:rPr>
        <w:t xml:space="preserve">    </w:t>
      </w:r>
      <w:r>
        <w:rPr>
          <w:rFonts w:ascii="Times New Roman"/>
        </w:rPr>
        <w:t>——</w:t>
      </w:r>
      <w:r>
        <w:rPr>
          <w:rFonts w:hint="eastAsia" w:ascii="Times New Roman"/>
        </w:rPr>
        <w:t>原材料和</w:t>
      </w:r>
      <w:r>
        <w:rPr>
          <w:rFonts w:ascii="Times New Roman"/>
        </w:rPr>
        <w:t>能源</w:t>
      </w:r>
      <w:r>
        <w:rPr>
          <w:rFonts w:hint="eastAsia" w:ascii="Times New Roman"/>
        </w:rPr>
        <w:t>获取阶段运输总距离，</w:t>
      </w:r>
      <w:r>
        <w:rPr>
          <w:rFonts w:hint="eastAsia" w:hAnsi="宋体"/>
        </w:rPr>
        <w:t>单位为千米（km）；</w:t>
      </w:r>
    </w:p>
    <w:p>
      <w:pPr>
        <w:pStyle w:val="176"/>
        <w:numPr>
          <w:ilvl w:val="0"/>
          <w:numId w:val="0"/>
        </w:numPr>
        <w:ind w:left="424" w:hanging="424" w:hangingChars="202"/>
      </w:pPr>
      <w:r>
        <w:rPr>
          <w:rFonts w:hint="eastAsia" w:hAnsi="宋体"/>
          <w:i/>
        </w:rPr>
        <w:t>EF</w:t>
      </w:r>
      <w:r>
        <w:rPr>
          <w:rFonts w:hint="eastAsia" w:hAnsi="宋体"/>
          <w:i/>
          <w:vertAlign w:val="subscript"/>
        </w:rPr>
        <w:t>LCA,运输,CO2</w:t>
      </w:r>
      <w:r>
        <w:rPr>
          <w:rFonts w:hAnsi="宋体"/>
          <w:i/>
          <w:vertAlign w:val="subscript"/>
        </w:rPr>
        <w:t xml:space="preserve">  </w:t>
      </w:r>
      <w:r>
        <w:rPr>
          <w:rFonts w:ascii="Times New Roman"/>
        </w:rPr>
        <w:t>——</w:t>
      </w:r>
      <w:r>
        <w:rPr>
          <w:rFonts w:hint="eastAsia" w:hAnsi="宋体"/>
        </w:rPr>
        <w:t>运输全生命周期温室气体排放因子</w:t>
      </w:r>
      <w:r>
        <w:rPr>
          <w:rFonts w:hint="eastAsia"/>
        </w:rPr>
        <w:t>。</w:t>
      </w:r>
    </w:p>
    <w:p>
      <w:pPr>
        <w:pStyle w:val="166"/>
      </w:pPr>
      <w:r>
        <w:rPr>
          <w:rFonts w:hint="eastAsia"/>
        </w:rPr>
        <w:t>原材料和</w:t>
      </w:r>
      <w:r>
        <w:t>能源</w:t>
      </w:r>
      <w:r>
        <w:rPr>
          <w:rFonts w:hint="eastAsia"/>
        </w:rPr>
        <w:t>获取阶段其他原材料投入的温室气体排放量，按公式（</w:t>
      </w:r>
      <w:r>
        <w:t>7</w:t>
      </w:r>
      <w:r>
        <w:rPr>
          <w:rFonts w:hint="eastAsia"/>
        </w:rPr>
        <w:t>）计算：</w:t>
      </w:r>
    </w:p>
    <w:p>
      <w:pPr>
        <w:pStyle w:val="115"/>
      </w:pPr>
      <w:r>
        <w:tab/>
      </w:r>
      <m:oMath>
        <m:sSub>
          <m:sSubPr>
            <m:ctrlPr>
              <w:rPr>
                <w:rFonts w:hint="eastAsia" w:ascii="Cambria Math" w:hAnsi="Cambria Math"/>
                <w:i/>
              </w:rPr>
            </m:ctrlPr>
          </m:sSubPr>
          <m:e>
            <m:r>
              <m:rPr/>
              <w:rPr>
                <w:rFonts w:hint="eastAsia" w:ascii="Cambria Math" w:hAnsi="Cambria Math"/>
              </w:rPr>
              <m:t>E</m:t>
            </m:r>
            <m:ctrlPr>
              <w:rPr>
                <w:rFonts w:hint="eastAsia" w:ascii="Cambria Math" w:hAnsi="Cambria Math"/>
                <w:i/>
              </w:rPr>
            </m:ctrlPr>
          </m:e>
          <m:sub>
            <m:r>
              <m:rPr/>
              <w:rPr>
                <w:rFonts w:hint="eastAsia" w:ascii="Cambria Math" w:hAnsi="Cambria Math"/>
              </w:rPr>
              <m:t>其他</m:t>
            </m:r>
            <m:r>
              <m:rPr/>
              <w:rPr>
                <w:rFonts w:ascii="Cambria Math" w:hAnsi="Cambria Math"/>
              </w:rPr>
              <m:t>,</m:t>
            </m:r>
            <m:r>
              <m:rPr/>
              <w:rPr>
                <w:rFonts w:hint="eastAsia" w:ascii="Cambria Math" w:hAnsi="Cambria Math"/>
              </w:rPr>
              <m:t>原</m:t>
            </m:r>
            <m:ctrlPr>
              <w:rPr>
                <w:rFonts w:hint="eastAsia"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AD</m:t>
            </m:r>
            <m:ctrlPr>
              <w:rPr>
                <w:rFonts w:ascii="Cambria Math" w:hAnsi="Cambria Math"/>
                <w:i/>
              </w:rPr>
            </m:ctrlPr>
          </m:e>
          <m:sub>
            <m:r>
              <m:rPr/>
              <w:rPr>
                <w:rFonts w:hint="eastAsia" w:ascii="Cambria Math" w:hAnsi="Cambria Math"/>
              </w:rPr>
              <m:t>其他</m:t>
            </m:r>
            <m:r>
              <m:rPr/>
              <w:rPr>
                <w:rFonts w:ascii="Cambria Math" w:hAnsi="Cambria Math"/>
              </w:rPr>
              <m:t>,</m:t>
            </m:r>
            <m:r>
              <m:rPr/>
              <w:rPr>
                <w:rFonts w:hint="eastAsia" w:ascii="Cambria Math" w:hAnsi="Cambria Math"/>
              </w:rPr>
              <m:t>原</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sSub>
              <m:sSubPr>
                <m:ctrlPr>
                  <w:rPr>
                    <w:rFonts w:ascii="Cambria Math" w:hAnsi="Cambria Math"/>
                    <w:i/>
                  </w:rPr>
                </m:ctrlPr>
              </m:sSubPr>
              <m:e>
                <m:r>
                  <m:rPr/>
                  <w:rPr>
                    <w:rFonts w:ascii="Cambria Math" w:hAnsi="Cambria Math"/>
                  </w:rPr>
                  <m:t>LCA,</m:t>
                </m:r>
                <m:r>
                  <m:rPr/>
                  <w:rPr>
                    <w:rFonts w:hint="eastAsia" w:ascii="Cambria Math" w:hAnsi="Cambria Math"/>
                  </w:rPr>
                  <m:t>其他</m:t>
                </m:r>
                <m:r>
                  <m:rPr/>
                  <w:rPr>
                    <w:rFonts w:ascii="Cambria Math" w:hAnsi="Cambria Math"/>
                  </w:rPr>
                  <m:t>,co</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sub>
        </m:sSub>
      </m:oMath>
      <w:r>
        <w:rPr>
          <w:rFonts w:ascii="微软雅黑" w:hAnsi="微软雅黑" w:eastAsia="微软雅黑"/>
        </w:rPr>
        <w:tab/>
      </w:r>
      <w:r>
        <w:t>(</w:t>
      </w:r>
      <w:r>
        <w:fldChar w:fldCharType="begin"/>
      </w:r>
      <w:r>
        <w:instrText xml:space="preserve"> AUTONUM </w:instrText>
      </w:r>
      <w:r>
        <w:fldChar w:fldCharType="end"/>
      </w:r>
      <w:r>
        <w:t>)</w:t>
      </w:r>
    </w:p>
    <w:p>
      <w:pPr>
        <w:pStyle w:val="176"/>
        <w:numPr>
          <w:ilvl w:val="0"/>
          <w:numId w:val="0"/>
        </w:numPr>
        <w:ind w:left="424" w:hanging="424" w:hangingChars="202"/>
      </w:pPr>
      <w:r>
        <w:rPr>
          <w:rFonts w:hint="eastAsia"/>
        </w:rPr>
        <w:t>式中：</w:t>
      </w:r>
    </w:p>
    <w:p>
      <w:pPr>
        <w:pStyle w:val="176"/>
        <w:numPr>
          <w:ilvl w:val="0"/>
          <w:numId w:val="0"/>
        </w:numPr>
        <w:ind w:left="424" w:hanging="424" w:hangingChars="202"/>
        <w:rPr>
          <w:rFonts w:hAnsi="宋体"/>
        </w:rPr>
      </w:pPr>
      <w:r>
        <w:rPr>
          <w:rFonts w:hint="eastAsia"/>
          <w:i/>
        </w:rPr>
        <w:t>AD</w:t>
      </w:r>
      <w:r>
        <w:rPr>
          <w:rFonts w:hint="eastAsia"/>
          <w:i/>
          <w:vertAlign w:val="subscript"/>
        </w:rPr>
        <w:t xml:space="preserve">其他,原 </w:t>
      </w:r>
      <w:r>
        <w:rPr>
          <w:rFonts w:hint="eastAsia"/>
          <w:vertAlign w:val="subscript"/>
        </w:rPr>
        <w:t xml:space="preserve">      </w:t>
      </w:r>
      <w:r>
        <w:rPr>
          <w:rFonts w:ascii="Times New Roman"/>
        </w:rPr>
        <w:t>——</w:t>
      </w:r>
      <w:r>
        <w:rPr>
          <w:rFonts w:hint="eastAsia" w:ascii="Times New Roman"/>
        </w:rPr>
        <w:t>原材料和</w:t>
      </w:r>
      <w:r>
        <w:rPr>
          <w:rFonts w:ascii="Times New Roman"/>
        </w:rPr>
        <w:t>能源</w:t>
      </w:r>
      <w:r>
        <w:rPr>
          <w:rFonts w:hint="eastAsia" w:ascii="Times New Roman"/>
        </w:rPr>
        <w:t>获取阶段其他原材料</w:t>
      </w:r>
      <w:r>
        <w:rPr>
          <w:rFonts w:hint="eastAsia" w:hAnsi="宋体"/>
        </w:rPr>
        <w:t>投入量（</w:t>
      </w:r>
      <w:r>
        <w:rPr>
          <w:rFonts w:hint="eastAsia"/>
          <w:szCs w:val="21"/>
        </w:rPr>
        <w:t>玻璃纤维</w:t>
      </w:r>
      <w:r>
        <w:rPr>
          <w:rFonts w:hint="eastAsia" w:hAnsi="宋体"/>
        </w:rPr>
        <w:t>等）；</w:t>
      </w:r>
    </w:p>
    <w:p>
      <w:pPr>
        <w:pStyle w:val="176"/>
        <w:numPr>
          <w:ilvl w:val="0"/>
          <w:numId w:val="0"/>
        </w:numPr>
        <w:ind w:left="424" w:hanging="424" w:hangingChars="202"/>
      </w:pPr>
      <w:r>
        <w:rPr>
          <w:rFonts w:hint="eastAsia" w:hAnsi="宋体"/>
          <w:i/>
        </w:rPr>
        <w:t>EF</w:t>
      </w:r>
      <w:r>
        <w:rPr>
          <w:rFonts w:hint="eastAsia" w:hAnsi="宋体"/>
          <w:i/>
          <w:vertAlign w:val="subscript"/>
        </w:rPr>
        <w:t xml:space="preserve">LCA,其他,CO2 </w:t>
      </w:r>
      <w:r>
        <w:rPr>
          <w:rFonts w:hint="eastAsia" w:hAnsi="宋体"/>
          <w:vertAlign w:val="subscript"/>
        </w:rPr>
        <w:t xml:space="preserve">  </w:t>
      </w:r>
      <w:r>
        <w:rPr>
          <w:rFonts w:ascii="Times New Roman"/>
        </w:rPr>
        <w:t>——</w:t>
      </w:r>
      <w:r>
        <w:rPr>
          <w:rFonts w:hint="eastAsia" w:hAnsi="宋体"/>
        </w:rPr>
        <w:t>相应全生命周期温室气体排放因子</w:t>
      </w:r>
      <w:r>
        <w:rPr>
          <w:rFonts w:hint="eastAsia" w:ascii="Times New Roman"/>
        </w:rPr>
        <w:t>。</w:t>
      </w:r>
    </w:p>
    <w:p>
      <w:pPr>
        <w:pStyle w:val="67"/>
        <w:spacing w:before="120" w:after="120"/>
      </w:pPr>
      <w:r>
        <w:rPr>
          <w:rFonts w:hint="eastAsia"/>
        </w:rPr>
        <w:t>生产阶段产品部分</w:t>
      </w:r>
      <w:r>
        <w:t>碳足迹</w:t>
      </w:r>
    </w:p>
    <w:p>
      <w:pPr>
        <w:pStyle w:val="58"/>
        <w:ind w:firstLine="420"/>
        <w:rPr>
          <w:rFonts w:ascii="Times New Roman"/>
        </w:rPr>
      </w:pPr>
      <w:r>
        <w:rPr>
          <w:rFonts w:hint="eastAsia" w:ascii="Times New Roman"/>
        </w:rPr>
        <w:t>煤制乙二醇生产</w:t>
      </w:r>
      <w:r>
        <w:rPr>
          <w:rFonts w:ascii="Times New Roman"/>
        </w:rPr>
        <w:t>阶段</w:t>
      </w:r>
      <w:r>
        <w:rPr>
          <w:rFonts w:hint="eastAsia" w:ascii="Times New Roman"/>
        </w:rPr>
        <w:t>产品部分</w:t>
      </w:r>
      <w:r>
        <w:rPr>
          <w:rFonts w:ascii="Times New Roman"/>
        </w:rPr>
        <w:t>碳足迹</w:t>
      </w:r>
      <w:r>
        <w:rPr>
          <w:rFonts w:hint="eastAsia" w:ascii="Times New Roman"/>
        </w:rPr>
        <w:t>，按公式</w:t>
      </w:r>
      <w:r>
        <w:rPr>
          <w:rFonts w:hint="eastAsia"/>
        </w:rPr>
        <w:t>（</w:t>
      </w:r>
      <w:r>
        <w:t>8</w:t>
      </w:r>
      <w:r>
        <w:rPr>
          <w:rFonts w:hint="eastAsia"/>
        </w:rPr>
        <w:t>）</w:t>
      </w:r>
      <w:r>
        <w:rPr>
          <w:rFonts w:hint="eastAsia" w:ascii="Times New Roman"/>
        </w:rPr>
        <w:t>计算：</w:t>
      </w:r>
    </w:p>
    <w:p>
      <w:pPr>
        <w:pStyle w:val="115"/>
      </w:pPr>
      <w:r>
        <w:tab/>
      </w:r>
      <m:oMath>
        <m:r>
          <m:rPr>
            <m:sty m:val="p"/>
          </m:rPr>
          <w:rPr>
            <w:rFonts w:ascii="Cambria Math" w:hAnsi="Cambria Math"/>
          </w:rPr>
          <m:t xml:space="preserve"> </m:t>
        </m:r>
        <m:sSub>
          <m:sSubPr>
            <m:ctrlPr>
              <w:rPr>
                <w:rFonts w:hint="eastAsia" w:ascii="Cambria Math" w:hAnsi="Cambria Math"/>
                <w:i/>
              </w:rPr>
            </m:ctrlPr>
          </m:sSubPr>
          <m:e>
            <m:r>
              <m:rPr/>
              <w:rPr>
                <w:rFonts w:hint="eastAsia" w:ascii="Cambria Math" w:hAnsi="Cambria Math"/>
              </w:rPr>
              <m:t>CFP</m:t>
            </m:r>
            <m:ctrlPr>
              <w:rPr>
                <w:rFonts w:hint="eastAsia" w:ascii="Cambria Math" w:hAnsi="Cambria Math"/>
                <w:i/>
              </w:rPr>
            </m:ctrlPr>
          </m:e>
          <m:sub>
            <m:r>
              <m:rPr/>
              <w:rPr>
                <w:rFonts w:hint="eastAsia" w:ascii="Cambria Math" w:hAnsi="Cambria Math"/>
              </w:rPr>
              <m:t>生产</m:t>
            </m:r>
            <m:ctrlPr>
              <w:rPr>
                <w:rFonts w:hint="eastAsia" w:ascii="Cambria Math" w:hAnsi="Cambria Math"/>
                <w:i/>
              </w:rPr>
            </m:ctrlPr>
          </m:sub>
        </m:sSub>
        <m:r>
          <m:rPr/>
          <w:rPr>
            <w:rFonts w:hint="eastAsia" w:ascii="Cambria Math" w:hAnsi="Cambria Math"/>
          </w:rPr>
          <m:t>=</m:t>
        </m:r>
        <m:d>
          <m:dPr>
            <m:begChr m:val="["/>
            <m:endChr m:val="]"/>
            <m:ctrlPr>
              <w:rPr>
                <w:rFonts w:ascii="Cambria Math" w:hAnsi="Cambria Math"/>
                <w:i/>
              </w:rPr>
            </m:ctrlPr>
          </m:dPr>
          <m:e>
            <m:d>
              <m:dPr>
                <m:ctrlPr>
                  <w:rPr>
                    <w:rFonts w:hint="eastAsia" w:ascii="Cambria Math" w:hAnsi="Cambria Math"/>
                    <w:i/>
                  </w:rPr>
                </m:ctrlPr>
              </m:dPr>
              <m:e>
                <m:sSub>
                  <m:sSubPr>
                    <m:ctrlPr>
                      <w:rPr>
                        <w:rFonts w:hint="eastAsia" w:ascii="Cambria Math" w:hAnsi="Cambria Math"/>
                        <w:i/>
                      </w:rPr>
                    </m:ctrlPr>
                  </m:sSubPr>
                  <m:e>
                    <m:r>
                      <m:rPr/>
                      <w:rPr>
                        <w:rFonts w:hint="eastAsia" w:ascii="Cambria Math" w:hAnsi="Cambria Math"/>
                      </w:rPr>
                      <m:t>E</m:t>
                    </m:r>
                    <m:ctrlPr>
                      <w:rPr>
                        <w:rFonts w:hint="eastAsia" w:ascii="Cambria Math" w:hAnsi="Cambria Math"/>
                        <w:i/>
                      </w:rPr>
                    </m:ctrlPr>
                  </m:e>
                  <m:sub>
                    <m:r>
                      <m:rPr/>
                      <w:rPr>
                        <w:rFonts w:hint="eastAsia" w:ascii="Cambria Math" w:hAnsi="Cambria Math"/>
                      </w:rPr>
                      <m:t>能源</m:t>
                    </m:r>
                    <m:r>
                      <m:rPr/>
                      <w:rPr>
                        <w:rFonts w:ascii="Cambria Math" w:hAnsi="Cambria Math"/>
                      </w:rPr>
                      <m:t>,</m:t>
                    </m:r>
                    <m:r>
                      <m:rPr/>
                      <w:rPr>
                        <w:rFonts w:hint="eastAsia" w:ascii="Cambria Math" w:hAnsi="Cambria Math"/>
                      </w:rPr>
                      <m:t>生产</m:t>
                    </m:r>
                    <m:ctrlPr>
                      <w:rPr>
                        <w:rFonts w:hint="eastAsia"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运输</m:t>
                    </m:r>
                    <m:r>
                      <m:rPr/>
                      <w:rPr>
                        <w:rFonts w:ascii="Cambria Math" w:hAnsi="Cambria Math"/>
                      </w:rPr>
                      <m:t>,</m:t>
                    </m:r>
                    <m:r>
                      <m:rPr/>
                      <w:rPr>
                        <w:rFonts w:hint="eastAsia" w:ascii="Cambria Math" w:hAnsi="Cambria Math"/>
                      </w:rPr>
                      <m:t>生产</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其他</m:t>
                    </m:r>
                    <m:r>
                      <m:rPr>
                        <m:sty m:val="p"/>
                      </m:rPr>
                      <w:rPr>
                        <w:rFonts w:hint="eastAsia" w:ascii="Cambria Math" w:hAnsi="Cambria Math"/>
                      </w:rPr>
                      <m:t>，</m:t>
                    </m:r>
                    <m:r>
                      <m:rPr>
                        <m:sty m:val="p"/>
                      </m:rPr>
                      <w:rPr>
                        <w:rFonts w:ascii="Cambria Math" w:hAnsi="Cambria Math"/>
                      </w:rPr>
                      <m:t>生产</m:t>
                    </m:r>
                    <m:ctrlPr>
                      <w:rPr>
                        <w:rFonts w:ascii="Cambria Math" w:hAnsi="Cambria Math"/>
                        <w:i/>
                      </w:rPr>
                    </m:ctrlPr>
                  </m:sub>
                </m:sSub>
                <m:ctrlPr>
                  <w:rPr>
                    <w:rFonts w:hint="eastAsia" w:ascii="Cambria Math" w:hAnsi="Cambria Math"/>
                    <w:i/>
                  </w:rPr>
                </m:ctrlPr>
              </m:e>
            </m:d>
            <m:r>
              <m:rPr/>
              <w:rPr>
                <w:rFonts w:hint="eastAsia" w:ascii="Cambria Math" w:hAnsi="Cambria Math"/>
              </w:rPr>
              <m:t>/</m:t>
            </m:r>
            <m:sSub>
              <m:sSubPr>
                <m:ctrlPr>
                  <w:rPr>
                    <w:rFonts w:hint="eastAsia" w:ascii="Cambria Math" w:hAnsi="Cambria Math"/>
                    <w:i/>
                  </w:rPr>
                </m:ctrlPr>
              </m:sSubPr>
              <m:e>
                <m:r>
                  <m:rPr/>
                  <w:rPr>
                    <w:rFonts w:hint="eastAsia" w:ascii="Cambria Math" w:hAnsi="Cambria Math"/>
                  </w:rPr>
                  <m:t>P</m:t>
                </m:r>
                <m:ctrlPr>
                  <w:rPr>
                    <w:rFonts w:hint="eastAsia" w:ascii="Cambria Math" w:hAnsi="Cambria Math"/>
                    <w:i/>
                  </w:rPr>
                </m:ctrlPr>
              </m:e>
              <m:sub>
                <m:r>
                  <m:rPr/>
                  <w:rPr>
                    <w:rFonts w:hint="eastAsia" w:ascii="Cambria Math" w:hAnsi="Cambria Math"/>
                  </w:rPr>
                  <m:t>煤制乙二醇</m:t>
                </m:r>
                <m:ctrlPr>
                  <w:rPr>
                    <w:rFonts w:hint="eastAsia" w:ascii="Cambria Math" w:hAnsi="Cambria Math"/>
                    <w:i/>
                  </w:rPr>
                </m:ctrlPr>
              </m:sub>
            </m:sSub>
            <m:ctrlPr>
              <w:rPr>
                <w:rFonts w:ascii="Cambria Math" w:hAnsi="Cambria Math"/>
                <w:i/>
              </w:rPr>
            </m:ctrlPr>
          </m:e>
        </m:d>
        <m:r>
          <m:rPr/>
          <w:rPr>
            <w:rFonts w:ascii="Cambria Math" w:hAnsi="Cambria Math"/>
          </w:rPr>
          <m:t>×</m:t>
        </m:r>
        <m:sSub>
          <m:sSubPr>
            <m:ctrlPr>
              <w:rPr>
                <w:rFonts w:ascii="Cambria Math" w:hAnsi="Cambria Math"/>
                <w:i/>
              </w:rPr>
            </m:ctrlPr>
          </m:sSubPr>
          <m:e>
            <m:r>
              <m:rPr/>
              <w:rPr>
                <w:rFonts w:ascii="Cambria Math" w:hAnsi="Cambria Math"/>
              </w:rPr>
              <m:t>GWP</m:t>
            </m:r>
            <m:ctrlPr>
              <w:rPr>
                <w:rFonts w:ascii="Cambria Math" w:hAnsi="Cambria Math"/>
                <w:i/>
              </w:rPr>
            </m:ctrlPr>
          </m:e>
          <m:sub>
            <m:r>
              <m:rPr/>
              <w:rPr>
                <w:rFonts w:ascii="Cambria Math" w:hAnsi="Cambria Math"/>
              </w:rPr>
              <m:t>j</m:t>
            </m:r>
            <m:ctrlPr>
              <w:rPr>
                <w:rFonts w:ascii="Cambria Math" w:hAnsi="Cambria Math"/>
                <w:i/>
              </w:rPr>
            </m:ctrlPr>
          </m:sub>
        </m:sSub>
      </m:oMath>
      <w:r>
        <w:rPr>
          <w:rFonts w:ascii="微软雅黑" w:hAnsi="微软雅黑" w:eastAsia="微软雅黑"/>
        </w:rPr>
        <w:tab/>
      </w:r>
      <w:r>
        <w:t>(</w:t>
      </w:r>
      <w:r>
        <w:fldChar w:fldCharType="begin"/>
      </w:r>
      <w:r>
        <w:instrText xml:space="preserve"> AUTONUM </w:instrText>
      </w:r>
      <w:r>
        <w:fldChar w:fldCharType="end"/>
      </w:r>
      <w:r>
        <w:t>)</w:t>
      </w:r>
    </w:p>
    <w:p>
      <w:pPr>
        <w:pStyle w:val="58"/>
        <w:ind w:firstLine="199" w:firstLineChars="95"/>
        <w:rPr>
          <w:rFonts w:ascii="Times New Roman"/>
        </w:rPr>
      </w:pPr>
      <w:r>
        <w:rPr>
          <w:rFonts w:hint="eastAsia" w:ascii="Times New Roman"/>
        </w:rPr>
        <w:t>式中：</w:t>
      </w:r>
    </w:p>
    <w:p>
      <w:pPr>
        <w:widowControl/>
        <w:autoSpaceDE w:val="0"/>
        <w:autoSpaceDN w:val="0"/>
        <w:ind w:firstLine="210" w:firstLineChars="100"/>
        <w:rPr>
          <w:rFonts w:ascii="Times New Roman" w:hAnsi="Times New Roman"/>
          <w:kern w:val="0"/>
        </w:rPr>
      </w:pPr>
      <w:r>
        <w:rPr>
          <w:rFonts w:hint="eastAsia" w:ascii="宋体" w:hAnsi="宋体" w:cs="宋体"/>
          <w:i/>
          <w:szCs w:val="24"/>
        </w:rPr>
        <w:t>CFP</w:t>
      </w:r>
      <w:r>
        <w:rPr>
          <w:rFonts w:hint="eastAsia" w:ascii="宋体" w:hAnsi="宋体" w:cs="宋体"/>
          <w:i/>
          <w:szCs w:val="24"/>
          <w:vertAlign w:val="subscript"/>
        </w:rPr>
        <w:t>生产</w:t>
      </w:r>
      <w:r>
        <w:rPr>
          <w:rFonts w:hint="eastAsia" w:ascii="宋体" w:hAnsi="宋体" w:cs="宋体"/>
          <w:szCs w:val="24"/>
          <w:vertAlign w:val="subscript"/>
        </w:rPr>
        <w:t xml:space="preserve"> </w:t>
      </w:r>
      <w:r>
        <w:rPr>
          <w:rFonts w:ascii="宋体" w:hAnsi="宋体" w:cs="宋体"/>
          <w:szCs w:val="24"/>
          <w:vertAlign w:val="subscript"/>
        </w:rPr>
        <w:t xml:space="preserve">    </w:t>
      </w:r>
      <w:r>
        <w:rPr>
          <w:rFonts w:ascii="Times New Roman" w:hAnsi="Times New Roman"/>
          <w:kern w:val="0"/>
          <w:szCs w:val="20"/>
        </w:rPr>
        <w:t>——</w:t>
      </w:r>
      <w:r>
        <w:rPr>
          <w:rFonts w:hint="eastAsia" w:ascii="Times New Roman" w:hAnsi="Times New Roman"/>
          <w:kern w:val="0"/>
        </w:rPr>
        <w:t>生产阶段产品部分</w:t>
      </w:r>
      <w:r>
        <w:rPr>
          <w:rFonts w:ascii="Times New Roman" w:hAnsi="Times New Roman"/>
          <w:kern w:val="0"/>
        </w:rPr>
        <w:t>碳足迹</w:t>
      </w:r>
      <w:r>
        <w:rPr>
          <w:rFonts w:hint="eastAsia" w:ascii="Times New Roman" w:hAnsi="Times New Roman"/>
          <w:kern w:val="0"/>
        </w:rPr>
        <w:t>，单位为</w:t>
      </w:r>
      <w:r>
        <w:rPr>
          <w:rFonts w:hint="eastAsia" w:ascii="Times New Roman"/>
        </w:rPr>
        <w:t>吨二氧化碳当量每声明单位</w:t>
      </w:r>
      <w:r>
        <w:rPr>
          <w:rFonts w:hint="eastAsia" w:ascii="宋体" w:hAnsi="宋体"/>
        </w:rPr>
        <w:t>（</w:t>
      </w:r>
      <w:r>
        <w:rPr>
          <w:rFonts w:ascii="宋体" w:hAnsi="宋体"/>
        </w:rPr>
        <w:t>t</w:t>
      </w:r>
      <w:r>
        <w:rPr>
          <w:rFonts w:hint="eastAsia" w:ascii="宋体" w:hAnsi="宋体"/>
        </w:rPr>
        <w:t>CO</w:t>
      </w:r>
      <w:r>
        <w:rPr>
          <w:rFonts w:hint="eastAsia" w:ascii="宋体" w:hAnsi="宋体"/>
          <w:vertAlign w:val="subscript"/>
        </w:rPr>
        <w:t>2</w:t>
      </w:r>
      <w:r>
        <w:rPr>
          <w:rFonts w:hint="eastAsia" w:ascii="宋体" w:hAnsi="宋体"/>
        </w:rPr>
        <w:t>e/声明单位）</w:t>
      </w:r>
      <w:r>
        <w:rPr>
          <w:rFonts w:hint="eastAsia" w:ascii="Times New Roman" w:hAnsi="Times New Roman"/>
          <w:kern w:val="0"/>
        </w:rPr>
        <w:t>；</w:t>
      </w:r>
    </w:p>
    <w:p>
      <w:pPr>
        <w:pStyle w:val="58"/>
        <w:ind w:firstLine="199" w:firstLineChars="95"/>
        <w:rPr>
          <w:rFonts w:ascii="Times New Roman"/>
        </w:rPr>
      </w:pPr>
      <w:r>
        <w:rPr>
          <w:rFonts w:hint="eastAsia" w:hAnsi="宋体" w:cs="宋体"/>
          <w:i/>
          <w:szCs w:val="24"/>
        </w:rPr>
        <w:t>E</w:t>
      </w:r>
      <w:r>
        <w:rPr>
          <w:rFonts w:hint="eastAsia" w:hAnsi="宋体" w:cs="宋体"/>
          <w:i/>
          <w:szCs w:val="24"/>
          <w:vertAlign w:val="subscript"/>
        </w:rPr>
        <w:t>能源,生产</w:t>
      </w:r>
      <w:r>
        <w:rPr>
          <w:rFonts w:hint="eastAsia" w:ascii="Times New Roman"/>
          <w:szCs w:val="24"/>
        </w:rPr>
        <w:t xml:space="preserve"> </w:t>
      </w:r>
      <w:r>
        <w:rPr>
          <w:rFonts w:ascii="Times New Roman"/>
          <w:szCs w:val="24"/>
        </w:rPr>
        <w:t xml:space="preserve"> </w:t>
      </w:r>
      <w:r>
        <w:rPr>
          <w:rFonts w:ascii="Times New Roman"/>
        </w:rPr>
        <w:t>——</w:t>
      </w:r>
      <w:r>
        <w:rPr>
          <w:rFonts w:hint="eastAsia" w:hAnsi="宋体"/>
        </w:rPr>
        <w:t>生产阶段</w:t>
      </w:r>
      <w:r>
        <w:rPr>
          <w:rFonts w:hint="eastAsia" w:hAnsi="宋体" w:cs="宋体"/>
        </w:rPr>
        <w:t>运输所产生的温室气体排放量，单位为吨二氧化碳（</w:t>
      </w:r>
      <w:r>
        <w:rPr>
          <w:rFonts w:hAnsi="宋体" w:cs="宋体"/>
        </w:rPr>
        <w:t>t</w:t>
      </w:r>
      <w:r>
        <w:rPr>
          <w:rFonts w:hint="eastAsia" w:hAnsi="宋体" w:cs="宋体"/>
        </w:rPr>
        <w:t>CO</w:t>
      </w:r>
      <w:r>
        <w:rPr>
          <w:rFonts w:hint="eastAsia" w:hAnsi="宋体" w:cs="宋体"/>
          <w:vertAlign w:val="subscript"/>
        </w:rPr>
        <w:t>2</w:t>
      </w:r>
      <w:r>
        <w:rPr>
          <w:rFonts w:hint="eastAsia" w:hAnsi="宋体" w:cs="宋体"/>
        </w:rPr>
        <w:t>)</w:t>
      </w:r>
      <w:r>
        <w:rPr>
          <w:rFonts w:hint="eastAsia" w:ascii="Times New Roman"/>
        </w:rPr>
        <w:t>；</w:t>
      </w:r>
    </w:p>
    <w:p>
      <w:pPr>
        <w:pStyle w:val="58"/>
        <w:ind w:firstLine="199" w:firstLineChars="95"/>
        <w:rPr>
          <w:rFonts w:ascii="Times New Roman"/>
        </w:rPr>
      </w:pPr>
      <w:r>
        <w:rPr>
          <w:rFonts w:hint="eastAsia" w:hAnsi="宋体" w:cs="宋体"/>
          <w:i/>
          <w:szCs w:val="24"/>
        </w:rPr>
        <w:t>E</w:t>
      </w:r>
      <w:r>
        <w:rPr>
          <w:rFonts w:hint="eastAsia" w:hAnsi="宋体" w:cs="宋体"/>
          <w:i/>
          <w:szCs w:val="24"/>
          <w:vertAlign w:val="subscript"/>
        </w:rPr>
        <w:t>运输,生产</w:t>
      </w:r>
      <w:r>
        <w:rPr>
          <w:rFonts w:hint="eastAsia" w:hAnsi="宋体" w:cs="宋体"/>
          <w:szCs w:val="24"/>
          <w:vertAlign w:val="subscript"/>
        </w:rPr>
        <w:t xml:space="preserve">   </w:t>
      </w:r>
      <w:r>
        <w:rPr>
          <w:rFonts w:hAnsi="宋体" w:cs="宋体"/>
          <w:szCs w:val="24"/>
          <w:vertAlign w:val="subscript"/>
        </w:rPr>
        <w:t xml:space="preserve"> </w:t>
      </w:r>
      <w:r>
        <w:rPr>
          <w:rFonts w:ascii="Times New Roman"/>
        </w:rPr>
        <w:t>——</w:t>
      </w:r>
      <w:r>
        <w:rPr>
          <w:rFonts w:hint="eastAsia" w:hAnsi="宋体"/>
        </w:rPr>
        <w:t>生产阶段</w:t>
      </w:r>
      <w:r>
        <w:rPr>
          <w:rFonts w:hint="eastAsia" w:hAnsi="宋体" w:cs="宋体"/>
        </w:rPr>
        <w:t>运输所产生的温室气体排放量，单位为吨二氧化碳（</w:t>
      </w:r>
      <w:r>
        <w:rPr>
          <w:rFonts w:hAnsi="宋体" w:cs="宋体"/>
        </w:rPr>
        <w:t>t</w:t>
      </w:r>
      <w:r>
        <w:rPr>
          <w:rFonts w:hint="eastAsia" w:hAnsi="宋体" w:cs="宋体"/>
        </w:rPr>
        <w:t>CO</w:t>
      </w:r>
      <w:r>
        <w:rPr>
          <w:rFonts w:hint="eastAsia" w:hAnsi="宋体" w:cs="宋体"/>
          <w:vertAlign w:val="subscript"/>
        </w:rPr>
        <w:t>2</w:t>
      </w:r>
      <w:r>
        <w:rPr>
          <w:rFonts w:hint="eastAsia" w:hAnsi="宋体" w:cs="宋体"/>
        </w:rPr>
        <w:t>)</w:t>
      </w:r>
      <w:r>
        <w:rPr>
          <w:rFonts w:hint="eastAsia" w:ascii="Times New Roman"/>
        </w:rPr>
        <w:t>；</w:t>
      </w:r>
    </w:p>
    <w:p>
      <w:pPr>
        <w:pStyle w:val="58"/>
        <w:ind w:left="1459" w:leftChars="95" w:hanging="1260" w:hangingChars="600"/>
        <w:rPr>
          <w:rFonts w:ascii="Times New Roman"/>
        </w:rPr>
      </w:pPr>
      <w:r>
        <w:rPr>
          <w:rFonts w:hint="eastAsia" w:hAnsi="宋体" w:cs="宋体"/>
          <w:i/>
          <w:szCs w:val="24"/>
        </w:rPr>
        <w:t>E</w:t>
      </w:r>
      <w:r>
        <w:rPr>
          <w:rFonts w:hint="eastAsia" w:hAnsi="宋体" w:cs="宋体"/>
          <w:i/>
          <w:szCs w:val="24"/>
          <w:vertAlign w:val="subscript"/>
        </w:rPr>
        <w:t>其他,生产</w:t>
      </w:r>
      <w:r>
        <w:rPr>
          <w:rFonts w:hint="eastAsia" w:hAnsi="宋体" w:cs="宋体"/>
          <w:szCs w:val="24"/>
          <w:vertAlign w:val="subscript"/>
        </w:rPr>
        <w:t xml:space="preserve">  </w:t>
      </w:r>
      <w:r>
        <w:rPr>
          <w:rFonts w:ascii="Times New Roman"/>
        </w:rPr>
        <w:t>——</w:t>
      </w:r>
      <w:r>
        <w:rPr>
          <w:rFonts w:hint="eastAsia" w:hAnsi="宋体"/>
        </w:rPr>
        <w:t>其他生产阶段所产生的除上述排放范围以外的温室气体排放量，单位为吨二氧化碳（</w:t>
      </w:r>
      <w:r>
        <w:rPr>
          <w:rFonts w:hAnsi="宋体"/>
        </w:rPr>
        <w:t>t</w:t>
      </w:r>
      <w:r>
        <w:rPr>
          <w:rFonts w:hint="eastAsia" w:hAnsi="宋体"/>
        </w:rPr>
        <w:t>CO</w:t>
      </w:r>
      <w:r>
        <w:rPr>
          <w:rFonts w:hint="eastAsia" w:hAnsi="宋体"/>
          <w:vertAlign w:val="subscript"/>
        </w:rPr>
        <w:t>2</w:t>
      </w:r>
      <w:r>
        <w:rPr>
          <w:rFonts w:hint="eastAsia" w:hAnsi="宋体"/>
        </w:rPr>
        <w:t>)</w:t>
      </w:r>
      <w:r>
        <w:rPr>
          <w:rFonts w:hint="eastAsia" w:ascii="Times New Roman"/>
        </w:rPr>
        <w:t>；</w:t>
      </w:r>
    </w:p>
    <w:p>
      <w:pPr>
        <w:pStyle w:val="58"/>
        <w:ind w:firstLine="199" w:firstLineChars="95"/>
        <w:rPr>
          <w:rFonts w:ascii="Times New Roman"/>
        </w:rPr>
      </w:pPr>
      <w:r>
        <w:rPr>
          <w:rFonts w:hint="eastAsia" w:hAnsi="宋体" w:cs="宋体"/>
          <w:i/>
          <w:szCs w:val="24"/>
        </w:rPr>
        <w:t>P</w:t>
      </w:r>
      <w:r>
        <w:rPr>
          <w:rFonts w:hint="eastAsia" w:hAnsi="宋体" w:cs="宋体"/>
          <w:i/>
          <w:szCs w:val="24"/>
          <w:vertAlign w:val="subscript"/>
        </w:rPr>
        <w:t>煤制乙二醇</w:t>
      </w:r>
      <w:r>
        <w:rPr>
          <w:rFonts w:hint="eastAsia" w:hAnsi="宋体" w:cs="宋体"/>
          <w:szCs w:val="24"/>
          <w:vertAlign w:val="subscript"/>
        </w:rPr>
        <w:t xml:space="preserve"> </w:t>
      </w:r>
      <w:r>
        <w:rPr>
          <w:rFonts w:hint="eastAsia" w:ascii="Times New Roman"/>
          <w:kern w:val="2"/>
          <w:szCs w:val="24"/>
        </w:rPr>
        <w:t xml:space="preserve"> </w:t>
      </w:r>
      <w:r>
        <w:rPr>
          <w:rFonts w:ascii="Times New Roman"/>
          <w:kern w:val="2"/>
          <w:szCs w:val="24"/>
        </w:rPr>
        <w:t xml:space="preserve"> </w:t>
      </w:r>
      <w:r>
        <w:rPr>
          <w:rFonts w:ascii="Times New Roman"/>
        </w:rPr>
        <w:t>——</w:t>
      </w:r>
      <w:r>
        <w:rPr>
          <w:rFonts w:hint="eastAsia" w:ascii="Times New Roman"/>
        </w:rPr>
        <w:t>核算周期内煤制乙二醇的产量，单位为吨（</w:t>
      </w:r>
      <w:r>
        <w:rPr>
          <w:rFonts w:hAnsi="宋体"/>
        </w:rPr>
        <w:t>t</w:t>
      </w:r>
      <w:r>
        <w:rPr>
          <w:rFonts w:hint="eastAsia" w:ascii="Times New Roman"/>
        </w:rPr>
        <w:t>)。</w:t>
      </w:r>
    </w:p>
    <w:p>
      <w:pPr>
        <w:pStyle w:val="58"/>
        <w:ind w:firstLine="199" w:firstLineChars="95"/>
        <w:rPr>
          <w:rFonts w:ascii="Times New Roman"/>
        </w:rPr>
      </w:pPr>
      <w:r>
        <w:rPr>
          <w:rFonts w:hint="eastAsia" w:hAnsi="宋体"/>
          <w:i/>
        </w:rPr>
        <w:t>G</w:t>
      </w:r>
      <w:r>
        <w:rPr>
          <w:rFonts w:hAnsi="宋体"/>
          <w:i/>
        </w:rPr>
        <w:t>WP</w:t>
      </w:r>
      <w:r>
        <w:rPr>
          <w:rFonts w:hAnsi="宋体" w:cs="宋体"/>
          <w:i/>
          <w:vertAlign w:val="subscript"/>
        </w:rPr>
        <w:t xml:space="preserve">j        </w:t>
      </w:r>
      <w:r>
        <w:rPr>
          <w:rFonts w:ascii="Times New Roman"/>
        </w:rPr>
        <w:t>——</w:t>
      </w:r>
      <w:r>
        <w:rPr>
          <w:rFonts w:hint="eastAsia" w:hAnsi="宋体"/>
        </w:rPr>
        <w:t>温室气体j的GWP值</w:t>
      </w:r>
      <w:r>
        <w:rPr>
          <w:rFonts w:hint="eastAsia" w:ascii="Times New Roman"/>
        </w:rPr>
        <w:t>。</w:t>
      </w:r>
    </w:p>
    <w:p>
      <w:pPr>
        <w:pStyle w:val="106"/>
        <w:spacing w:before="240" w:after="240"/>
      </w:pPr>
      <w:bookmarkStart w:id="129" w:name="_Toc179815572"/>
      <w:bookmarkStart w:id="130" w:name="_Toc184718780"/>
      <w:bookmarkStart w:id="131" w:name="_Toc183616721"/>
      <w:bookmarkStart w:id="132" w:name="_Toc184306747"/>
      <w:bookmarkStart w:id="133" w:name="_Toc187832935"/>
      <w:bookmarkStart w:id="134" w:name="_Toc201828350"/>
      <w:bookmarkStart w:id="135" w:name="_Toc184918263"/>
      <w:bookmarkStart w:id="136" w:name="_Toc185949917"/>
      <w:bookmarkStart w:id="137" w:name="_Toc185957774"/>
      <w:bookmarkStart w:id="138" w:name="_Toc184203380"/>
      <w:bookmarkStart w:id="139" w:name="_Toc184830900"/>
      <w:bookmarkStart w:id="140" w:name="_Toc183078500"/>
      <w:bookmarkStart w:id="141" w:name="_Toc182907059"/>
      <w:bookmarkStart w:id="142" w:name="_Toc182815563"/>
      <w:r>
        <w:rPr>
          <w:rFonts w:hint="eastAsia"/>
        </w:rPr>
        <w:t>生命</w:t>
      </w:r>
      <w:r>
        <w:t>周期</w:t>
      </w:r>
      <w:r>
        <w:rPr>
          <w:rFonts w:hint="eastAsia"/>
        </w:rPr>
        <w:t>结果</w:t>
      </w:r>
      <w:r>
        <w:t>解释</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pPr>
        <w:pStyle w:val="164"/>
        <w:spacing w:before="60" w:after="120"/>
      </w:pPr>
      <w:r>
        <w:rPr>
          <w:rFonts w:hint="eastAsia"/>
        </w:rPr>
        <w:t>煤制乙二醇产品碳足迹系统边界</w:t>
      </w:r>
      <w:r>
        <w:t>定义为“</w:t>
      </w:r>
      <w:r>
        <w:rPr>
          <w:rFonts w:hint="eastAsia"/>
        </w:rPr>
        <w:t>从摇篮到大门</w:t>
      </w:r>
      <w:r>
        <w:t>”</w:t>
      </w:r>
      <w:r>
        <w:rPr>
          <w:rFonts w:hint="eastAsia"/>
        </w:rPr>
        <w:t>，</w:t>
      </w:r>
      <w:r>
        <w:t>共分为</w:t>
      </w:r>
      <w:r>
        <w:rPr>
          <w:rFonts w:hint="eastAsia"/>
        </w:rPr>
        <w:t>两</w:t>
      </w:r>
      <w:r>
        <w:t>个阶段：原材料</w:t>
      </w:r>
      <w:r>
        <w:rPr>
          <w:rFonts w:hint="eastAsia"/>
        </w:rPr>
        <w:t>和</w:t>
      </w:r>
      <w:r>
        <w:t>能源获取</w:t>
      </w:r>
      <w:r>
        <w:rPr>
          <w:rFonts w:hint="eastAsia"/>
        </w:rPr>
        <w:t>阶段</w:t>
      </w:r>
      <w:r>
        <w:t>、产品制造阶段。</w:t>
      </w:r>
    </w:p>
    <w:p>
      <w:pPr>
        <w:pStyle w:val="164"/>
        <w:spacing w:before="60" w:after="120"/>
      </w:pPr>
      <w:r>
        <w:rPr>
          <w:rFonts w:hint="eastAsia"/>
        </w:rPr>
        <w:t>产品碳足迹研究的生命周期解释阶段应包括以下步骤：</w:t>
      </w:r>
    </w:p>
    <w:p>
      <w:pPr>
        <w:pStyle w:val="176"/>
        <w:numPr>
          <w:ilvl w:val="0"/>
          <w:numId w:val="49"/>
        </w:numPr>
      </w:pPr>
      <w:r>
        <w:rPr>
          <w:rFonts w:hint="eastAsia"/>
        </w:rPr>
        <w:t>根据生命周期清单分析和生命周期影响评价的产品碳足迹和产品部分碳足迹的量化结果，识别重大问题（可包括生命周期阶段、单元过程或流）；</w:t>
      </w:r>
    </w:p>
    <w:p>
      <w:pPr>
        <w:pStyle w:val="176"/>
        <w:numPr>
          <w:ilvl w:val="0"/>
          <w:numId w:val="49"/>
        </w:numPr>
      </w:pPr>
      <w:r>
        <w:rPr>
          <w:rFonts w:hint="eastAsia"/>
        </w:rPr>
        <w:t>完整性、一致性和敏感性分析；</w:t>
      </w:r>
    </w:p>
    <w:p>
      <w:pPr>
        <w:pStyle w:val="176"/>
        <w:numPr>
          <w:ilvl w:val="0"/>
          <w:numId w:val="49"/>
        </w:numPr>
      </w:pPr>
      <w:r>
        <w:rPr>
          <w:rFonts w:hint="eastAsia"/>
        </w:rPr>
        <w:t>结论、局限性和建议的编制。按照产品碳足迹研究的目的和范围，对生命周期影响评价的产品碳足迹和产品部分碳足迹的量化结果进行解释， 解释应包括以下内容：</w:t>
      </w:r>
    </w:p>
    <w:p>
      <w:pPr>
        <w:pStyle w:val="111"/>
        <w:numPr>
          <w:ilvl w:val="1"/>
          <w:numId w:val="38"/>
        </w:numPr>
        <w:tabs>
          <w:tab w:val="left" w:pos="851"/>
        </w:tabs>
      </w:pPr>
      <w:r>
        <w:rPr>
          <w:rFonts w:hint="eastAsia"/>
        </w:rPr>
        <w:t>对产品碳足迹和各阶段碳足迹的说明；</w:t>
      </w:r>
    </w:p>
    <w:p>
      <w:pPr>
        <w:pStyle w:val="111"/>
        <w:numPr>
          <w:ilvl w:val="1"/>
          <w:numId w:val="38"/>
        </w:numPr>
        <w:tabs>
          <w:tab w:val="left" w:pos="851"/>
        </w:tabs>
      </w:pPr>
      <w:r>
        <w:rPr>
          <w:rFonts w:hint="eastAsia"/>
        </w:rPr>
        <w:t>对不确定性分析，包括取舍准则的应用或范围；</w:t>
      </w:r>
    </w:p>
    <w:p>
      <w:pPr>
        <w:pStyle w:val="111"/>
        <w:numPr>
          <w:ilvl w:val="1"/>
          <w:numId w:val="38"/>
        </w:numPr>
        <w:tabs>
          <w:tab w:val="left" w:pos="851"/>
        </w:tabs>
      </w:pPr>
      <w:r>
        <w:rPr>
          <w:rFonts w:hint="eastAsia"/>
        </w:rPr>
        <w:t>详细记录选定的分配程序；</w:t>
      </w:r>
    </w:p>
    <w:p>
      <w:pPr>
        <w:pStyle w:val="111"/>
        <w:numPr>
          <w:ilvl w:val="1"/>
          <w:numId w:val="38"/>
        </w:numPr>
        <w:tabs>
          <w:tab w:val="left" w:pos="851"/>
        </w:tabs>
      </w:pPr>
      <w:r>
        <w:rPr>
          <w:rFonts w:hint="eastAsia"/>
        </w:rPr>
        <w:t>说明产品碳足迹研究的局限性。</w:t>
      </w:r>
    </w:p>
    <w:p>
      <w:pPr>
        <w:pStyle w:val="181"/>
      </w:pPr>
      <w:r>
        <w:rPr>
          <w:rFonts w:hint="eastAsia"/>
        </w:rPr>
        <w:t>更多信息见 GB/T 24044-2008 4.5 和GB/T 24067-2024附录A、附录 B。</w:t>
      </w:r>
    </w:p>
    <w:p>
      <w:pPr>
        <w:pStyle w:val="106"/>
        <w:spacing w:before="240" w:after="240"/>
      </w:pPr>
      <w:bookmarkStart w:id="143" w:name="_Toc183616722"/>
      <w:bookmarkStart w:id="144" w:name="_Toc163464948"/>
      <w:bookmarkStart w:id="145" w:name="_Toc156981420"/>
      <w:bookmarkStart w:id="146" w:name="_Toc156834048"/>
      <w:bookmarkStart w:id="147" w:name="_Toc169273034"/>
      <w:bookmarkStart w:id="148" w:name="_Toc171517900"/>
      <w:bookmarkStart w:id="149" w:name="_Toc163639302"/>
      <w:bookmarkStart w:id="150" w:name="_Toc182815564"/>
      <w:bookmarkStart w:id="151" w:name="_Toc173226277"/>
      <w:bookmarkStart w:id="152" w:name="_Toc183078501"/>
      <w:bookmarkStart w:id="153" w:name="_Toc179815573"/>
      <w:bookmarkStart w:id="154" w:name="_Toc182907060"/>
      <w:bookmarkStart w:id="155" w:name="_Toc172019158"/>
      <w:bookmarkStart w:id="156" w:name="_Toc184306748"/>
      <w:bookmarkStart w:id="157" w:name="_Toc184718781"/>
      <w:bookmarkStart w:id="158" w:name="_Toc184830901"/>
      <w:bookmarkStart w:id="159" w:name="_Toc185957775"/>
      <w:bookmarkStart w:id="160" w:name="_Toc185949918"/>
      <w:bookmarkStart w:id="161" w:name="_Toc187832936"/>
      <w:bookmarkStart w:id="162" w:name="_Toc201828351"/>
      <w:bookmarkStart w:id="163" w:name="_Toc184918264"/>
      <w:bookmarkStart w:id="164" w:name="_Toc184203381"/>
      <w:r>
        <w:rPr>
          <w:rFonts w:hint="eastAsia"/>
        </w:rPr>
        <w:t>产品</w:t>
      </w:r>
      <w:r>
        <w:t>碳足迹报告</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pPr>
        <w:pStyle w:val="58"/>
        <w:ind w:firstLine="420"/>
        <w:rPr>
          <w:rFonts w:hAnsi="宋体" w:cs="宋体"/>
          <w:szCs w:val="21"/>
        </w:rPr>
      </w:pPr>
      <w:r>
        <w:rPr>
          <w:rFonts w:hint="eastAsia" w:hAnsi="宋体" w:cs="宋体"/>
          <w:szCs w:val="21"/>
        </w:rPr>
        <w:t>依据本文件编制的产品碳足迹报告应包括但不限于以下内容（参考</w:t>
      </w:r>
      <w:r>
        <w:rPr>
          <w:rFonts w:hAnsi="宋体" w:cs="宋体"/>
          <w:szCs w:val="21"/>
        </w:rPr>
        <w:t>格式</w:t>
      </w:r>
      <w:r>
        <w:rPr>
          <w:rFonts w:hint="eastAsia" w:hAnsi="宋体" w:cs="宋体"/>
          <w:szCs w:val="21"/>
        </w:rPr>
        <w:t>见</w:t>
      </w:r>
      <w:r>
        <w:rPr>
          <w:rFonts w:hAnsi="宋体" w:cs="宋体"/>
          <w:szCs w:val="21"/>
        </w:rPr>
        <w:t>附录A</w:t>
      </w:r>
      <w:r>
        <w:rPr>
          <w:rFonts w:hint="eastAsia" w:hAnsi="宋体" w:cs="宋体"/>
          <w:szCs w:val="21"/>
        </w:rPr>
        <w:t>）：</w:t>
      </w:r>
    </w:p>
    <w:p>
      <w:pPr>
        <w:pStyle w:val="176"/>
        <w:numPr>
          <w:ilvl w:val="0"/>
          <w:numId w:val="50"/>
        </w:numPr>
      </w:pPr>
      <w:r>
        <w:rPr>
          <w:rFonts w:hint="eastAsia" w:hAnsi="宋体" w:cs="宋体"/>
          <w:szCs w:val="21"/>
        </w:rPr>
        <w:t>基本情况：</w:t>
      </w:r>
    </w:p>
    <w:p>
      <w:pPr>
        <w:pStyle w:val="111"/>
      </w:pPr>
      <w:r>
        <w:rPr>
          <w:rFonts w:hint="eastAsia"/>
        </w:rPr>
        <w:t>委托方</w:t>
      </w:r>
      <w:r>
        <w:t>和评价方信息；</w:t>
      </w:r>
    </w:p>
    <w:p>
      <w:pPr>
        <w:pStyle w:val="111"/>
      </w:pPr>
      <w:r>
        <w:rPr>
          <w:rFonts w:hint="eastAsia"/>
        </w:rPr>
        <w:t>报告</w:t>
      </w:r>
      <w:r>
        <w:t>信息；</w:t>
      </w:r>
    </w:p>
    <w:p>
      <w:pPr>
        <w:pStyle w:val="111"/>
      </w:pPr>
      <w:r>
        <w:rPr>
          <w:rFonts w:hint="eastAsia"/>
        </w:rPr>
        <w:t>依据</w:t>
      </w:r>
      <w:r>
        <w:t>的标准；</w:t>
      </w:r>
    </w:p>
    <w:p>
      <w:pPr>
        <w:pStyle w:val="111"/>
        <w:rPr>
          <w:rFonts w:hint="eastAsia"/>
        </w:rPr>
      </w:pPr>
      <w:r>
        <w:rPr>
          <w:rFonts w:hint="eastAsia"/>
        </w:rPr>
        <w:t>使用的</w:t>
      </w:r>
      <w:r>
        <w:t>产品种类规则或其他</w:t>
      </w:r>
      <w:r>
        <w:rPr>
          <w:rFonts w:hint="eastAsia"/>
        </w:rPr>
        <w:t>补充</w:t>
      </w:r>
      <w:r>
        <w:t>要求的参考资料（</w:t>
      </w:r>
      <w:r>
        <w:rPr>
          <w:rFonts w:hint="eastAsia"/>
        </w:rPr>
        <w:t>如有</w:t>
      </w:r>
      <w:r>
        <w:t>）</w:t>
      </w:r>
      <w:r>
        <w:rPr>
          <w:rFonts w:hint="eastAsia"/>
        </w:rPr>
        <w:t>。</w:t>
      </w:r>
    </w:p>
    <w:p>
      <w:pPr>
        <w:pStyle w:val="176"/>
      </w:pPr>
      <w:r>
        <w:rPr>
          <w:rFonts w:hint="eastAsia"/>
        </w:rPr>
        <w:t>量化目的：</w:t>
      </w:r>
    </w:p>
    <w:p>
      <w:pPr>
        <w:pStyle w:val="111"/>
        <w:numPr>
          <w:ilvl w:val="1"/>
          <w:numId w:val="51"/>
        </w:numPr>
        <w:tabs>
          <w:tab w:val="left" w:pos="851"/>
        </w:tabs>
      </w:pPr>
      <w:r>
        <w:rPr>
          <w:rFonts w:hint="eastAsia"/>
        </w:rPr>
        <w:t>开展研究</w:t>
      </w:r>
      <w:r>
        <w:t>的目的</w:t>
      </w:r>
      <w:r>
        <w:rPr>
          <w:rFonts w:hint="eastAsia"/>
        </w:rPr>
        <w:t>；</w:t>
      </w:r>
    </w:p>
    <w:p>
      <w:pPr>
        <w:pStyle w:val="111"/>
        <w:numPr>
          <w:ilvl w:val="1"/>
          <w:numId w:val="51"/>
        </w:numPr>
        <w:tabs>
          <w:tab w:val="left" w:pos="851"/>
        </w:tabs>
      </w:pPr>
      <w:r>
        <w:rPr>
          <w:rFonts w:hint="eastAsia"/>
        </w:rPr>
        <w:t>预期用途。</w:t>
      </w:r>
    </w:p>
    <w:p>
      <w:pPr>
        <w:pStyle w:val="176"/>
      </w:pPr>
      <w:r>
        <w:rPr>
          <w:rFonts w:hint="eastAsia"/>
        </w:rPr>
        <w:t>量化范围：</w:t>
      </w:r>
    </w:p>
    <w:p>
      <w:pPr>
        <w:pStyle w:val="111"/>
      </w:pPr>
      <w:r>
        <w:rPr>
          <w:rFonts w:hint="eastAsia"/>
        </w:rPr>
        <w:t>产品</w:t>
      </w:r>
      <w:r>
        <w:t>说明</w:t>
      </w:r>
      <w:r>
        <w:rPr>
          <w:rFonts w:hint="eastAsia"/>
        </w:rPr>
        <w:t>，</w:t>
      </w:r>
      <w:r>
        <w:t>包括功能和技术参数；</w:t>
      </w:r>
    </w:p>
    <w:p>
      <w:pPr>
        <w:pStyle w:val="111"/>
      </w:pPr>
      <w:r>
        <w:rPr>
          <w:rFonts w:hint="eastAsia"/>
        </w:rPr>
        <w:t>声明</w:t>
      </w:r>
      <w:r>
        <w:t>单位</w:t>
      </w:r>
      <w:r>
        <w:rPr>
          <w:rFonts w:hint="eastAsia"/>
        </w:rPr>
        <w:t>以及</w:t>
      </w:r>
      <w:r>
        <w:t>基准</w:t>
      </w:r>
      <w:r>
        <w:rPr>
          <w:rFonts w:hint="eastAsia"/>
        </w:rPr>
        <w:t>流</w:t>
      </w:r>
      <w:r>
        <w:t>；</w:t>
      </w:r>
    </w:p>
    <w:p>
      <w:pPr>
        <w:pStyle w:val="111"/>
      </w:pPr>
      <w:r>
        <w:rPr>
          <w:rFonts w:hint="eastAsia"/>
        </w:rPr>
        <w:t>系统</w:t>
      </w:r>
      <w:r>
        <w:t>边界；</w:t>
      </w:r>
    </w:p>
    <w:p>
      <w:pPr>
        <w:pStyle w:val="111"/>
      </w:pPr>
      <w:r>
        <w:rPr>
          <w:rFonts w:hint="eastAsia"/>
        </w:rPr>
        <w:t>取舍</w:t>
      </w:r>
      <w:r>
        <w:t>准则</w:t>
      </w:r>
      <w:r>
        <w:rPr>
          <w:rFonts w:hint="eastAsia"/>
        </w:rPr>
        <w:t>和</w:t>
      </w:r>
      <w:r>
        <w:t>取舍点</w:t>
      </w:r>
      <w:r>
        <w:rPr>
          <w:rFonts w:hint="eastAsia"/>
        </w:rPr>
        <w:t>，</w:t>
      </w:r>
      <w:r>
        <w:t>列出</w:t>
      </w:r>
      <w:r>
        <w:rPr>
          <w:rFonts w:hint="eastAsia"/>
        </w:rPr>
        <w:t>排除在外</w:t>
      </w:r>
      <w:r>
        <w:t>的</w:t>
      </w:r>
      <w:r>
        <w:rPr>
          <w:rFonts w:hint="eastAsia"/>
        </w:rPr>
        <w:t>单元</w:t>
      </w:r>
      <w:r>
        <w:t>过程</w:t>
      </w:r>
      <w:r>
        <w:rPr>
          <w:rFonts w:hint="eastAsia"/>
        </w:rPr>
        <w:t>或</w:t>
      </w:r>
      <w:r>
        <w:t>因素，</w:t>
      </w:r>
      <w:r>
        <w:rPr>
          <w:rFonts w:hint="eastAsia"/>
        </w:rPr>
        <w:t>并</w:t>
      </w:r>
      <w:r>
        <w:t>说明</w:t>
      </w:r>
      <w:r>
        <w:rPr>
          <w:rFonts w:hint="eastAsia"/>
        </w:rPr>
        <w:t>理由和其合理性</w:t>
      </w:r>
      <w:r>
        <w:t>；</w:t>
      </w:r>
    </w:p>
    <w:p>
      <w:pPr>
        <w:pStyle w:val="111"/>
      </w:pPr>
      <w:r>
        <w:rPr>
          <w:rFonts w:hint="eastAsia"/>
        </w:rPr>
        <w:t>生命</w:t>
      </w:r>
      <w:r>
        <w:t>周期</w:t>
      </w:r>
      <w:r>
        <w:rPr>
          <w:rFonts w:hint="eastAsia"/>
        </w:rPr>
        <w:t>各阶段描述</w:t>
      </w:r>
      <w:r>
        <w:t>。</w:t>
      </w:r>
    </w:p>
    <w:p>
      <w:pPr>
        <w:pStyle w:val="176"/>
      </w:pPr>
      <w:r>
        <w:rPr>
          <w:rFonts w:hint="eastAsia"/>
        </w:rPr>
        <w:t>清单</w:t>
      </w:r>
      <w:r>
        <w:t>分析：</w:t>
      </w:r>
    </w:p>
    <w:p>
      <w:pPr>
        <w:pStyle w:val="111"/>
      </w:pPr>
      <w:r>
        <w:rPr>
          <w:rFonts w:hint="eastAsia"/>
        </w:rPr>
        <w:t>数据</w:t>
      </w:r>
      <w:r>
        <w:t>收集信息，</w:t>
      </w:r>
      <w:r>
        <w:rPr>
          <w:rFonts w:hint="eastAsia"/>
        </w:rPr>
        <w:t>包括</w:t>
      </w:r>
      <w:r>
        <w:t>数据来源</w:t>
      </w:r>
      <w:r>
        <w:rPr>
          <w:rFonts w:hint="eastAsia"/>
        </w:rPr>
        <w:t>；</w:t>
      </w:r>
    </w:p>
    <w:p>
      <w:pPr>
        <w:pStyle w:val="111"/>
      </w:pPr>
      <w:r>
        <w:rPr>
          <w:rFonts w:hint="eastAsia"/>
        </w:rPr>
        <w:t>重要</w:t>
      </w:r>
      <w:r>
        <w:t>的单元过程清单；</w:t>
      </w:r>
    </w:p>
    <w:p>
      <w:pPr>
        <w:pStyle w:val="111"/>
      </w:pPr>
      <w:r>
        <w:rPr>
          <w:rFonts w:hint="eastAsia"/>
        </w:rPr>
        <w:t>纳入</w:t>
      </w:r>
      <w:r>
        <w:t>范围的温室气体清单；</w:t>
      </w:r>
    </w:p>
    <w:p>
      <w:pPr>
        <w:pStyle w:val="111"/>
      </w:pPr>
      <w:r>
        <w:rPr>
          <w:rFonts w:hint="eastAsia"/>
        </w:rPr>
        <w:t>分配</w:t>
      </w:r>
      <w:r>
        <w:t>原则与程序；</w:t>
      </w:r>
    </w:p>
    <w:p>
      <w:pPr>
        <w:pStyle w:val="111"/>
      </w:pPr>
      <w:r>
        <w:rPr>
          <w:rFonts w:hint="eastAsia"/>
        </w:rPr>
        <w:t>数据</w:t>
      </w:r>
      <w:r>
        <w:t>说明，</w:t>
      </w:r>
      <w:r>
        <w:rPr>
          <w:rFonts w:hint="eastAsia"/>
        </w:rPr>
        <w:t>包括有关数据的</w:t>
      </w:r>
      <w:r>
        <w:t>决定</w:t>
      </w:r>
      <w:r>
        <w:rPr>
          <w:rFonts w:hint="eastAsia"/>
        </w:rPr>
        <w:t>和</w:t>
      </w:r>
      <w:r>
        <w:t>数据质量评价</w:t>
      </w:r>
      <w:r>
        <w:rPr>
          <w:rFonts w:hint="eastAsia"/>
        </w:rPr>
        <w:t>。</w:t>
      </w:r>
    </w:p>
    <w:p>
      <w:pPr>
        <w:pStyle w:val="176"/>
      </w:pPr>
      <w:r>
        <w:rPr>
          <w:rFonts w:hint="eastAsia"/>
        </w:rPr>
        <w:t>影响</w:t>
      </w:r>
      <w:r>
        <w:t>评价：</w:t>
      </w:r>
    </w:p>
    <w:p>
      <w:pPr>
        <w:pStyle w:val="111"/>
      </w:pPr>
      <w:r>
        <w:rPr>
          <w:rFonts w:hint="eastAsia"/>
        </w:rPr>
        <w:t>影响</w:t>
      </w:r>
      <w:r>
        <w:t>评价方法</w:t>
      </w:r>
      <w:r>
        <w:rPr>
          <w:rFonts w:hint="eastAsia"/>
        </w:rPr>
        <w:t>；</w:t>
      </w:r>
    </w:p>
    <w:p>
      <w:pPr>
        <w:pStyle w:val="111"/>
      </w:pPr>
      <w:r>
        <w:rPr>
          <w:rFonts w:hint="eastAsia"/>
        </w:rPr>
        <w:t>特征化因子</w:t>
      </w:r>
      <w:r>
        <w:t>；</w:t>
      </w:r>
    </w:p>
    <w:p>
      <w:pPr>
        <w:pStyle w:val="111"/>
      </w:pPr>
      <w:r>
        <w:rPr>
          <w:rFonts w:hint="eastAsia"/>
        </w:rPr>
        <w:t>产品</w:t>
      </w:r>
      <w:r>
        <w:t>碳足迹</w:t>
      </w:r>
      <w:r>
        <w:rPr>
          <w:rFonts w:hint="eastAsia"/>
        </w:rPr>
        <w:t>计算</w:t>
      </w:r>
      <w:r>
        <w:t>；</w:t>
      </w:r>
    </w:p>
    <w:p>
      <w:pPr>
        <w:pStyle w:val="111"/>
      </w:pPr>
      <w:r>
        <w:rPr>
          <w:rFonts w:hint="eastAsia"/>
        </w:rPr>
        <w:t>结果</w:t>
      </w:r>
      <w:r>
        <w:t xml:space="preserve">图示 </w:t>
      </w:r>
      <w:r>
        <w:rPr>
          <w:rFonts w:hint="eastAsia"/>
        </w:rPr>
        <w:t>（可选）。</w:t>
      </w:r>
    </w:p>
    <w:p>
      <w:pPr>
        <w:pStyle w:val="176"/>
      </w:pPr>
      <w:r>
        <w:rPr>
          <w:rFonts w:hint="eastAsia"/>
        </w:rPr>
        <w:t>结果</w:t>
      </w:r>
      <w:r>
        <w:t>解释：</w:t>
      </w:r>
    </w:p>
    <w:p>
      <w:pPr>
        <w:pStyle w:val="111"/>
      </w:pPr>
      <w:r>
        <w:rPr>
          <w:rFonts w:hint="eastAsia"/>
        </w:rPr>
        <w:t>结论</w:t>
      </w:r>
      <w:r>
        <w:t>和局限性；</w:t>
      </w:r>
    </w:p>
    <w:p>
      <w:pPr>
        <w:pStyle w:val="111"/>
      </w:pPr>
      <w:r>
        <w:rPr>
          <w:rFonts w:hint="eastAsia"/>
        </w:rPr>
        <w:t>敏感性</w:t>
      </w:r>
      <w:r>
        <w:t>分析和</w:t>
      </w:r>
      <w:r>
        <w:rPr>
          <w:rFonts w:hint="eastAsia"/>
        </w:rPr>
        <w:t>不确定性</w:t>
      </w:r>
      <w:r>
        <w:t>分析</w:t>
      </w:r>
      <w:r>
        <w:rPr>
          <w:rFonts w:hint="eastAsia"/>
        </w:rPr>
        <w:t>结果</w:t>
      </w:r>
      <w:r>
        <w:t>；</w:t>
      </w:r>
    </w:p>
    <w:p>
      <w:pPr>
        <w:pStyle w:val="111"/>
      </w:pPr>
      <w:r>
        <w:rPr>
          <w:rFonts w:hint="eastAsia"/>
        </w:rPr>
        <w:t>电力</w:t>
      </w:r>
      <w:r>
        <w:t>处理</w:t>
      </w:r>
      <w:r>
        <w:rPr>
          <w:rFonts w:hint="eastAsia"/>
        </w:rPr>
        <w:t>，</w:t>
      </w:r>
      <w:r>
        <w:t>包括</w:t>
      </w:r>
      <w:r>
        <w:rPr>
          <w:rFonts w:hint="eastAsia"/>
        </w:rPr>
        <w:t>关于</w:t>
      </w:r>
      <w:r>
        <w:t>电网</w:t>
      </w:r>
      <w:r>
        <w:rPr>
          <w:rFonts w:hint="eastAsia"/>
        </w:rPr>
        <w:t>排放因子</w:t>
      </w:r>
      <w:r>
        <w:t>计算</w:t>
      </w:r>
      <w:r>
        <w:rPr>
          <w:rFonts w:hint="eastAsia"/>
        </w:rPr>
        <w:t>和</w:t>
      </w:r>
      <w:r>
        <w:t>相关电网的</w:t>
      </w:r>
      <w:r>
        <w:rPr>
          <w:rFonts w:hint="eastAsia"/>
        </w:rPr>
        <w:t>特殊</w:t>
      </w:r>
      <w:r>
        <w:t>局</w:t>
      </w:r>
      <w:r>
        <w:rPr>
          <w:rFonts w:hint="eastAsia"/>
        </w:rPr>
        <w:t>限</w:t>
      </w:r>
      <w:r>
        <w:t>信息；</w:t>
      </w:r>
    </w:p>
    <w:p>
      <w:pPr>
        <w:pStyle w:val="111"/>
      </w:pPr>
      <w:r>
        <w:rPr>
          <w:rFonts w:hint="eastAsia"/>
        </w:rPr>
        <w:t>在</w:t>
      </w:r>
      <w:r>
        <w:t>产品碳足迹研究中</w:t>
      </w:r>
      <w:r>
        <w:rPr>
          <w:rFonts w:hint="eastAsia"/>
        </w:rPr>
        <w:t>披露和</w:t>
      </w:r>
      <w:r>
        <w:t>证明</w:t>
      </w:r>
      <w:r>
        <w:rPr>
          <w:rFonts w:hint="eastAsia"/>
        </w:rPr>
        <w:t>相关</w:t>
      </w:r>
      <w:r>
        <w:t>信息</w:t>
      </w:r>
      <w:r>
        <w:rPr>
          <w:rFonts w:hint="eastAsia"/>
        </w:rPr>
        <w:t>项的</w:t>
      </w:r>
      <w:r>
        <w:t>选择</w:t>
      </w:r>
      <w:r>
        <w:rPr>
          <w:rFonts w:hint="eastAsia"/>
        </w:rPr>
        <w:t>并</w:t>
      </w:r>
      <w:r>
        <w:t>说明</w:t>
      </w:r>
      <w:r>
        <w:rPr>
          <w:rFonts w:hint="eastAsia"/>
        </w:rPr>
        <w:t>理由</w:t>
      </w:r>
      <w:r>
        <w:t>。</w:t>
      </w:r>
    </w:p>
    <w:p>
      <w:pPr>
        <w:pStyle w:val="176"/>
      </w:pPr>
      <w:r>
        <w:rPr>
          <w:rFonts w:hint="eastAsia"/>
        </w:rPr>
        <w:t>研究</w:t>
      </w:r>
      <w:r>
        <w:t>中使用的产品</w:t>
      </w:r>
      <w:r>
        <w:rPr>
          <w:rFonts w:hint="eastAsia"/>
        </w:rPr>
        <w:t>种类</w:t>
      </w:r>
      <w:r>
        <w:t>规则</w:t>
      </w:r>
      <w:r>
        <w:rPr>
          <w:rFonts w:hint="eastAsia"/>
        </w:rPr>
        <w:t>或</w:t>
      </w:r>
      <w:r>
        <w:t>其他补充</w:t>
      </w:r>
      <w:r>
        <w:rPr>
          <w:rFonts w:hint="eastAsia"/>
        </w:rPr>
        <w:t>要求</w:t>
      </w:r>
      <w:r>
        <w:t>的</w:t>
      </w:r>
      <w:r>
        <w:rPr>
          <w:rFonts w:hint="eastAsia"/>
        </w:rPr>
        <w:t>参考</w:t>
      </w:r>
      <w:r>
        <w:t>资料。</w:t>
      </w:r>
    </w:p>
    <w:p>
      <w:pPr>
        <w:pStyle w:val="176"/>
        <w:numPr>
          <w:ilvl w:val="0"/>
          <w:numId w:val="0"/>
        </w:numPr>
        <w:ind w:left="851"/>
      </w:pPr>
    </w:p>
    <w:p>
      <w:pPr>
        <w:pStyle w:val="176"/>
        <w:numPr>
          <w:ilvl w:val="0"/>
          <w:numId w:val="0"/>
        </w:numPr>
        <w:ind w:left="851" w:hanging="426"/>
        <w:sectPr>
          <w:pgSz w:w="11906" w:h="16838"/>
          <w:pgMar w:top="567" w:right="1134" w:bottom="1134" w:left="1134" w:header="1418" w:footer="1134" w:gutter="284"/>
          <w:pgNumType w:start="1"/>
          <w:cols w:space="425" w:num="1"/>
          <w:formProt w:val="0"/>
          <w:docGrid w:linePitch="312" w:charSpace="0"/>
        </w:sectPr>
      </w:pPr>
    </w:p>
    <w:bookmarkEnd w:id="24"/>
    <w:p>
      <w:pPr>
        <w:pStyle w:val="200"/>
        <w:rPr>
          <w:vanish w:val="0"/>
        </w:rPr>
      </w:pPr>
      <w:bookmarkStart w:id="165" w:name="BookMark5"/>
    </w:p>
    <w:p>
      <w:pPr>
        <w:pStyle w:val="201"/>
        <w:rPr>
          <w:vanish w:val="0"/>
        </w:rPr>
      </w:pPr>
    </w:p>
    <w:p>
      <w:pPr>
        <w:pStyle w:val="78"/>
        <w:spacing w:before="78" w:after="156"/>
      </w:pPr>
      <w:r>
        <w:br w:type="textWrapping"/>
      </w:r>
      <w:bookmarkStart w:id="166" w:name="_Toc201828352"/>
      <w:r>
        <w:rPr>
          <w:rFonts w:hint="eastAsia"/>
        </w:rPr>
        <w:t>（资料性）</w:t>
      </w:r>
      <w:r>
        <w:br w:type="textWrapping"/>
      </w:r>
      <w:r>
        <w:rPr>
          <w:rFonts w:hint="eastAsia"/>
        </w:rPr>
        <w:t>产品碳足迹报告（模板）</w:t>
      </w:r>
      <w:bookmarkEnd w:id="166"/>
    </w:p>
    <w:p>
      <w:pPr>
        <w:pStyle w:val="58"/>
        <w:ind w:firstLine="420"/>
      </w:pPr>
      <w:r>
        <w:rPr>
          <w:rFonts w:hint="eastAsia"/>
        </w:rPr>
        <w:t>产品</w:t>
      </w:r>
      <w:r>
        <w:t>碳足迹报告</w:t>
      </w:r>
      <w:r>
        <w:rPr>
          <w:rFonts w:hint="eastAsia"/>
        </w:rPr>
        <w:t>格式</w:t>
      </w:r>
      <w:r>
        <w:t>模版</w:t>
      </w:r>
      <w:r>
        <w:rPr>
          <w:rFonts w:hint="eastAsia"/>
        </w:rPr>
        <w:t>如下</w:t>
      </w:r>
      <w:r>
        <w:t>。</w:t>
      </w: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2420" w:firstLineChars="550"/>
        <w:rPr>
          <w:rFonts w:ascii="黑体" w:hAnsi="黑体" w:eastAsia="黑体" w:cs="黑体"/>
          <w:sz w:val="44"/>
          <w:szCs w:val="40"/>
        </w:rPr>
      </w:pPr>
      <w:r>
        <w:rPr>
          <w:rFonts w:hint="eastAsia" w:ascii="黑体" w:hAnsi="黑体" w:eastAsia="黑体" w:cs="黑体"/>
          <w:sz w:val="44"/>
          <w:szCs w:val="40"/>
        </w:rPr>
        <w:t>产品碳足迹报告（模板）</w:t>
      </w:r>
    </w:p>
    <w:p>
      <w:pPr>
        <w:pStyle w:val="58"/>
        <w:ind w:firstLine="1155" w:firstLineChars="550"/>
      </w:pPr>
    </w:p>
    <w:p>
      <w:pPr>
        <w:pStyle w:val="58"/>
        <w:ind w:firstLine="1155" w:firstLineChars="550"/>
      </w:pPr>
    </w:p>
    <w:p>
      <w:pPr>
        <w:pStyle w:val="58"/>
        <w:ind w:firstLine="1155" w:firstLineChars="550"/>
      </w:pPr>
    </w:p>
    <w:p>
      <w:pPr>
        <w:pStyle w:val="58"/>
        <w:ind w:firstLine="1155" w:firstLineChars="550"/>
      </w:pPr>
    </w:p>
    <w:p>
      <w:pPr>
        <w:pStyle w:val="58"/>
        <w:ind w:firstLine="1155" w:firstLineChars="550"/>
      </w:pPr>
    </w:p>
    <w:p>
      <w:pPr>
        <w:pStyle w:val="58"/>
        <w:ind w:firstLine="1155" w:firstLineChars="550"/>
      </w:pPr>
    </w:p>
    <w:p>
      <w:pPr>
        <w:pStyle w:val="58"/>
        <w:ind w:firstLine="1155" w:firstLineChars="550"/>
      </w:pPr>
    </w:p>
    <w:p>
      <w:pPr>
        <w:pStyle w:val="58"/>
        <w:ind w:firstLine="1155" w:firstLineChars="550"/>
      </w:pPr>
    </w:p>
    <w:p>
      <w:pPr>
        <w:pStyle w:val="58"/>
        <w:ind w:firstLine="1155" w:firstLineChars="550"/>
      </w:pPr>
    </w:p>
    <w:p>
      <w:pPr>
        <w:pStyle w:val="58"/>
        <w:spacing w:line="360" w:lineRule="auto"/>
        <w:ind w:firstLine="1320" w:firstLineChars="550"/>
        <w:rPr>
          <w:sz w:val="22"/>
          <w:szCs w:val="21"/>
          <w:u w:val="single"/>
        </w:rPr>
      </w:pPr>
      <w:r>
        <w:rPr>
          <w:rFonts w:hint="eastAsia"/>
          <w:sz w:val="24"/>
          <w:szCs w:val="22"/>
        </w:rPr>
        <w:t xml:space="preserve">产 品 名 称： </w:t>
      </w:r>
      <w:r>
        <w:rPr>
          <w:rFonts w:hint="eastAsia"/>
          <w:sz w:val="22"/>
          <w:szCs w:val="21"/>
          <w:u w:val="single"/>
        </w:rPr>
        <w:t xml:space="preserve">                                    </w:t>
      </w:r>
    </w:p>
    <w:p>
      <w:pPr>
        <w:pStyle w:val="58"/>
        <w:spacing w:line="360" w:lineRule="auto"/>
        <w:ind w:firstLine="1320" w:firstLineChars="550"/>
        <w:rPr>
          <w:sz w:val="22"/>
          <w:szCs w:val="21"/>
          <w:u w:val="single"/>
        </w:rPr>
      </w:pPr>
      <w:r>
        <w:rPr>
          <w:rFonts w:hint="eastAsia"/>
          <w:sz w:val="24"/>
          <w:szCs w:val="22"/>
        </w:rPr>
        <w:t>产品规格型号：</w:t>
      </w:r>
      <w:r>
        <w:rPr>
          <w:rFonts w:hint="eastAsia"/>
          <w:sz w:val="22"/>
          <w:szCs w:val="21"/>
          <w:u w:val="single"/>
        </w:rPr>
        <w:t xml:space="preserve">                                    </w:t>
      </w:r>
    </w:p>
    <w:p>
      <w:pPr>
        <w:pStyle w:val="58"/>
        <w:spacing w:line="360" w:lineRule="auto"/>
        <w:ind w:firstLine="1320" w:firstLineChars="550"/>
        <w:rPr>
          <w:sz w:val="22"/>
          <w:szCs w:val="21"/>
          <w:u w:val="single"/>
        </w:rPr>
      </w:pPr>
      <w:r>
        <w:rPr>
          <w:rFonts w:hint="eastAsia"/>
          <w:sz w:val="24"/>
          <w:szCs w:val="22"/>
        </w:rPr>
        <w:t xml:space="preserve">生产者名称：  </w:t>
      </w:r>
      <w:r>
        <w:rPr>
          <w:rFonts w:hint="eastAsia"/>
          <w:sz w:val="22"/>
          <w:szCs w:val="21"/>
          <w:u w:val="single"/>
        </w:rPr>
        <w:t xml:space="preserve">                                    </w:t>
      </w:r>
    </w:p>
    <w:p>
      <w:pPr>
        <w:pStyle w:val="58"/>
        <w:spacing w:line="360" w:lineRule="auto"/>
        <w:ind w:firstLine="1320" w:firstLineChars="550"/>
      </w:pPr>
      <w:r>
        <w:rPr>
          <w:rFonts w:hint="eastAsia"/>
          <w:sz w:val="24"/>
          <w:szCs w:val="22"/>
        </w:rPr>
        <w:t xml:space="preserve">报告编号：    </w:t>
      </w:r>
      <w:r>
        <w:rPr>
          <w:rFonts w:hint="eastAsia"/>
          <w:sz w:val="22"/>
          <w:szCs w:val="21"/>
          <w:u w:val="single"/>
        </w:rPr>
        <w:t xml:space="preserve">                                    </w:t>
      </w:r>
    </w:p>
    <w:p>
      <w:pPr>
        <w:pStyle w:val="176"/>
        <w:numPr>
          <w:ilvl w:val="0"/>
          <w:numId w:val="0"/>
        </w:numPr>
        <w:ind w:left="851" w:hanging="426"/>
      </w:pPr>
    </w:p>
    <w:p>
      <w:pPr>
        <w:pStyle w:val="176"/>
        <w:numPr>
          <w:ilvl w:val="0"/>
          <w:numId w:val="0"/>
        </w:numPr>
        <w:ind w:left="851" w:hanging="426"/>
      </w:pPr>
    </w:p>
    <w:p>
      <w:pPr>
        <w:pStyle w:val="176"/>
        <w:numPr>
          <w:ilvl w:val="0"/>
          <w:numId w:val="0"/>
        </w:numPr>
        <w:ind w:left="851" w:hanging="426"/>
      </w:pPr>
    </w:p>
    <w:p>
      <w:pPr>
        <w:pStyle w:val="176"/>
        <w:numPr>
          <w:ilvl w:val="0"/>
          <w:numId w:val="0"/>
        </w:numPr>
        <w:ind w:left="851" w:hanging="426"/>
      </w:pPr>
    </w:p>
    <w:p>
      <w:pPr>
        <w:pStyle w:val="176"/>
        <w:numPr>
          <w:ilvl w:val="0"/>
          <w:numId w:val="0"/>
        </w:numPr>
        <w:ind w:left="851" w:hanging="426"/>
      </w:pPr>
    </w:p>
    <w:p>
      <w:pPr>
        <w:pStyle w:val="176"/>
        <w:numPr>
          <w:ilvl w:val="0"/>
          <w:numId w:val="0"/>
        </w:numPr>
        <w:ind w:left="851" w:hanging="426"/>
      </w:pPr>
    </w:p>
    <w:p>
      <w:pPr>
        <w:pStyle w:val="176"/>
        <w:numPr>
          <w:ilvl w:val="0"/>
          <w:numId w:val="0"/>
        </w:numPr>
        <w:ind w:left="851" w:hanging="426"/>
      </w:pPr>
    </w:p>
    <w:p>
      <w:pPr>
        <w:pStyle w:val="176"/>
        <w:numPr>
          <w:ilvl w:val="0"/>
          <w:numId w:val="0"/>
        </w:numPr>
        <w:ind w:left="851" w:hanging="426"/>
      </w:pPr>
    </w:p>
    <w:p>
      <w:pPr>
        <w:pStyle w:val="176"/>
        <w:numPr>
          <w:ilvl w:val="0"/>
          <w:numId w:val="0"/>
        </w:numPr>
        <w:ind w:left="851" w:hanging="426"/>
      </w:pPr>
    </w:p>
    <w:p>
      <w:pPr>
        <w:pStyle w:val="176"/>
        <w:numPr>
          <w:ilvl w:val="0"/>
          <w:numId w:val="0"/>
        </w:numPr>
        <w:ind w:left="851" w:hanging="426"/>
      </w:pPr>
    </w:p>
    <w:p>
      <w:pPr>
        <w:pStyle w:val="176"/>
        <w:numPr>
          <w:ilvl w:val="0"/>
          <w:numId w:val="0"/>
        </w:numPr>
        <w:ind w:left="851" w:hanging="426"/>
      </w:pPr>
    </w:p>
    <w:p>
      <w:pPr>
        <w:pStyle w:val="176"/>
        <w:numPr>
          <w:ilvl w:val="0"/>
          <w:numId w:val="0"/>
        </w:numPr>
        <w:ind w:left="851" w:hanging="426"/>
      </w:pPr>
    </w:p>
    <w:p>
      <w:pPr>
        <w:pStyle w:val="176"/>
        <w:numPr>
          <w:ilvl w:val="0"/>
          <w:numId w:val="0"/>
        </w:numPr>
        <w:spacing w:line="360" w:lineRule="auto"/>
        <w:ind w:left="105" w:leftChars="50" w:firstLine="4400" w:firstLineChars="2000"/>
        <w:rPr>
          <w:sz w:val="22"/>
          <w:szCs w:val="21"/>
        </w:rPr>
      </w:pPr>
      <w:r>
        <w:rPr>
          <w:rFonts w:hint="eastAsia"/>
          <w:sz w:val="22"/>
          <w:szCs w:val="21"/>
        </w:rPr>
        <w:t xml:space="preserve">出具报告机构（若有）：  </w:t>
      </w:r>
      <w:r>
        <w:rPr>
          <w:rFonts w:hint="eastAsia"/>
          <w:sz w:val="22"/>
          <w:szCs w:val="21"/>
          <w:u w:val="single"/>
        </w:rPr>
        <w:t xml:space="preserve">            </w:t>
      </w:r>
      <w:r>
        <w:rPr>
          <w:rFonts w:hint="eastAsia"/>
          <w:sz w:val="22"/>
          <w:szCs w:val="21"/>
        </w:rPr>
        <w:t xml:space="preserve"> （盖章）</w:t>
      </w:r>
    </w:p>
    <w:p>
      <w:pPr>
        <w:pStyle w:val="176"/>
        <w:numPr>
          <w:ilvl w:val="0"/>
          <w:numId w:val="0"/>
        </w:numPr>
        <w:spacing w:line="360" w:lineRule="auto"/>
        <w:ind w:left="105" w:leftChars="50" w:firstLine="6380" w:firstLineChars="2900"/>
        <w:rPr>
          <w:sz w:val="22"/>
          <w:szCs w:val="21"/>
        </w:rPr>
      </w:pPr>
      <w:r>
        <w:rPr>
          <w:rFonts w:hint="eastAsia"/>
          <w:sz w:val="22"/>
          <w:szCs w:val="21"/>
        </w:rPr>
        <w:t>日期：</w:t>
      </w:r>
      <w:r>
        <w:rPr>
          <w:rFonts w:hint="eastAsia"/>
          <w:sz w:val="22"/>
          <w:szCs w:val="21"/>
          <w:u w:val="single"/>
        </w:rPr>
        <w:t xml:space="preserve">     </w:t>
      </w:r>
      <w:r>
        <w:rPr>
          <w:rFonts w:hint="eastAsia"/>
          <w:sz w:val="22"/>
          <w:szCs w:val="21"/>
        </w:rPr>
        <w:t>年</w:t>
      </w:r>
      <w:r>
        <w:rPr>
          <w:rFonts w:hint="eastAsia"/>
          <w:sz w:val="22"/>
          <w:szCs w:val="21"/>
          <w:u w:val="single"/>
        </w:rPr>
        <w:t xml:space="preserve">     </w:t>
      </w:r>
      <w:r>
        <w:rPr>
          <w:rFonts w:hint="eastAsia"/>
          <w:sz w:val="22"/>
          <w:szCs w:val="21"/>
        </w:rPr>
        <w:t>月</w:t>
      </w:r>
      <w:r>
        <w:rPr>
          <w:rFonts w:hint="eastAsia"/>
          <w:sz w:val="22"/>
          <w:szCs w:val="21"/>
          <w:u w:val="single"/>
        </w:rPr>
        <w:t xml:space="preserve">     </w:t>
      </w:r>
      <w:r>
        <w:rPr>
          <w:rFonts w:hint="eastAsia"/>
          <w:sz w:val="22"/>
          <w:szCs w:val="21"/>
        </w:rPr>
        <w:t>日</w:t>
      </w:r>
    </w:p>
    <w:p>
      <w:pPr>
        <w:pStyle w:val="176"/>
        <w:numPr>
          <w:ilvl w:val="0"/>
          <w:numId w:val="0"/>
        </w:numPr>
        <w:spacing w:line="360" w:lineRule="auto"/>
        <w:ind w:left="850" w:hanging="425"/>
        <w:rPr>
          <w:rFonts w:ascii="黑体" w:hAnsi="黑体" w:eastAsia="黑体"/>
          <w:bCs/>
          <w:sz w:val="22"/>
          <w:szCs w:val="21"/>
        </w:rPr>
      </w:pPr>
    </w:p>
    <w:p>
      <w:pPr>
        <w:pStyle w:val="176"/>
        <w:numPr>
          <w:ilvl w:val="0"/>
          <w:numId w:val="0"/>
        </w:numPr>
        <w:spacing w:line="360" w:lineRule="auto"/>
        <w:ind w:left="850" w:hanging="425"/>
        <w:rPr>
          <w:rFonts w:ascii="黑体" w:hAnsi="黑体" w:eastAsia="黑体"/>
          <w:bCs/>
          <w:sz w:val="22"/>
          <w:szCs w:val="21"/>
        </w:rPr>
      </w:pPr>
      <w:r>
        <w:rPr>
          <w:rFonts w:hint="eastAsia" w:ascii="黑体" w:hAnsi="黑体" w:eastAsia="黑体"/>
          <w:bCs/>
          <w:sz w:val="22"/>
          <w:szCs w:val="21"/>
        </w:rPr>
        <w:t>一、概况</w:t>
      </w:r>
    </w:p>
    <w:p>
      <w:pPr>
        <w:pStyle w:val="176"/>
        <w:numPr>
          <w:ilvl w:val="0"/>
          <w:numId w:val="0"/>
        </w:numPr>
        <w:spacing w:line="360" w:lineRule="auto"/>
        <w:ind w:left="991" w:leftChars="270" w:hanging="424" w:hangingChars="193"/>
        <w:rPr>
          <w:rFonts w:ascii="黑体" w:hAnsi="黑体" w:eastAsia="黑体"/>
          <w:sz w:val="22"/>
          <w:szCs w:val="21"/>
        </w:rPr>
      </w:pPr>
      <w:r>
        <w:rPr>
          <w:rFonts w:hint="eastAsia" w:ascii="黑体" w:hAnsi="黑体" w:eastAsia="黑体"/>
          <w:sz w:val="22"/>
          <w:szCs w:val="21"/>
        </w:rPr>
        <w:t>1、生产者信息</w:t>
      </w:r>
    </w:p>
    <w:p>
      <w:pPr>
        <w:pStyle w:val="176"/>
        <w:numPr>
          <w:ilvl w:val="0"/>
          <w:numId w:val="0"/>
        </w:numPr>
        <w:spacing w:line="360" w:lineRule="auto"/>
        <w:ind w:left="105" w:leftChars="50" w:firstLine="770" w:firstLineChars="350"/>
        <w:rPr>
          <w:sz w:val="22"/>
          <w:szCs w:val="21"/>
          <w:u w:val="single"/>
        </w:rPr>
      </w:pPr>
      <w:r>
        <w:rPr>
          <w:rFonts w:hint="eastAsia"/>
          <w:sz w:val="22"/>
          <w:szCs w:val="21"/>
        </w:rPr>
        <w:t>生产者名称：</w:t>
      </w:r>
      <w:r>
        <w:rPr>
          <w:rFonts w:hint="eastAsia"/>
          <w:sz w:val="22"/>
          <w:szCs w:val="21"/>
          <w:u w:val="single"/>
        </w:rPr>
        <w:t xml:space="preserve">                                    </w:t>
      </w:r>
    </w:p>
    <w:p>
      <w:pPr>
        <w:pStyle w:val="176"/>
        <w:numPr>
          <w:ilvl w:val="0"/>
          <w:numId w:val="0"/>
        </w:numPr>
        <w:spacing w:line="360" w:lineRule="auto"/>
        <w:ind w:left="105" w:leftChars="50" w:firstLine="770" w:firstLineChars="350"/>
        <w:rPr>
          <w:sz w:val="22"/>
          <w:szCs w:val="21"/>
          <w:u w:val="single"/>
        </w:rPr>
      </w:pPr>
      <w:r>
        <w:rPr>
          <w:rFonts w:hint="eastAsia"/>
          <w:sz w:val="22"/>
          <w:szCs w:val="21"/>
        </w:rPr>
        <w:t xml:space="preserve">地址：      </w:t>
      </w:r>
      <w:r>
        <w:rPr>
          <w:rFonts w:hint="eastAsia"/>
          <w:sz w:val="22"/>
          <w:szCs w:val="21"/>
          <w:u w:val="single"/>
        </w:rPr>
        <w:t xml:space="preserve">                                    </w:t>
      </w:r>
    </w:p>
    <w:p>
      <w:pPr>
        <w:pStyle w:val="176"/>
        <w:numPr>
          <w:ilvl w:val="0"/>
          <w:numId w:val="0"/>
        </w:numPr>
        <w:spacing w:line="360" w:lineRule="auto"/>
        <w:ind w:left="105" w:leftChars="50" w:firstLine="770" w:firstLineChars="350"/>
        <w:rPr>
          <w:sz w:val="22"/>
          <w:szCs w:val="21"/>
          <w:u w:val="single"/>
        </w:rPr>
      </w:pPr>
      <w:r>
        <w:rPr>
          <w:rFonts w:hint="eastAsia"/>
          <w:sz w:val="22"/>
          <w:szCs w:val="21"/>
        </w:rPr>
        <w:t>法定代表人：</w:t>
      </w:r>
      <w:r>
        <w:rPr>
          <w:rFonts w:hint="eastAsia"/>
          <w:sz w:val="22"/>
          <w:szCs w:val="21"/>
          <w:u w:val="single"/>
        </w:rPr>
        <w:t xml:space="preserve">                                    </w:t>
      </w:r>
    </w:p>
    <w:p>
      <w:pPr>
        <w:pStyle w:val="176"/>
        <w:numPr>
          <w:ilvl w:val="0"/>
          <w:numId w:val="0"/>
        </w:numPr>
        <w:spacing w:line="360" w:lineRule="auto"/>
        <w:ind w:left="105" w:leftChars="50" w:firstLine="770" w:firstLineChars="350"/>
        <w:rPr>
          <w:sz w:val="22"/>
          <w:szCs w:val="21"/>
          <w:u w:val="single"/>
        </w:rPr>
      </w:pPr>
      <w:r>
        <w:rPr>
          <w:rFonts w:hint="eastAsia"/>
          <w:sz w:val="22"/>
          <w:szCs w:val="21"/>
        </w:rPr>
        <w:t>授权人（联系人）：</w:t>
      </w:r>
      <w:r>
        <w:rPr>
          <w:rFonts w:hint="eastAsia"/>
          <w:sz w:val="22"/>
          <w:szCs w:val="21"/>
          <w:u w:val="single"/>
        </w:rPr>
        <w:t xml:space="preserve">                                    </w:t>
      </w:r>
    </w:p>
    <w:p>
      <w:pPr>
        <w:pStyle w:val="176"/>
        <w:numPr>
          <w:ilvl w:val="0"/>
          <w:numId w:val="0"/>
        </w:numPr>
        <w:spacing w:line="360" w:lineRule="auto"/>
        <w:ind w:left="105" w:leftChars="50" w:firstLine="770" w:firstLineChars="350"/>
        <w:rPr>
          <w:sz w:val="22"/>
          <w:szCs w:val="21"/>
          <w:u w:val="single"/>
        </w:rPr>
      </w:pPr>
      <w:r>
        <w:rPr>
          <w:rFonts w:hint="eastAsia"/>
          <w:sz w:val="22"/>
          <w:szCs w:val="21"/>
        </w:rPr>
        <w:t>联系电话：</w:t>
      </w:r>
      <w:r>
        <w:rPr>
          <w:rFonts w:hint="eastAsia"/>
          <w:sz w:val="22"/>
          <w:szCs w:val="21"/>
          <w:u w:val="single"/>
        </w:rPr>
        <w:t xml:space="preserve">                                    </w:t>
      </w:r>
    </w:p>
    <w:p>
      <w:pPr>
        <w:pStyle w:val="176"/>
        <w:numPr>
          <w:ilvl w:val="0"/>
          <w:numId w:val="0"/>
        </w:numPr>
        <w:spacing w:line="360" w:lineRule="auto"/>
        <w:ind w:left="105" w:leftChars="50" w:firstLine="770" w:firstLineChars="350"/>
        <w:rPr>
          <w:sz w:val="22"/>
          <w:szCs w:val="21"/>
          <w:u w:val="single"/>
        </w:rPr>
      </w:pPr>
      <w:r>
        <w:rPr>
          <w:rFonts w:hint="eastAsia"/>
          <w:sz w:val="22"/>
          <w:szCs w:val="21"/>
        </w:rPr>
        <w:t>企业概况：</w:t>
      </w:r>
      <w:r>
        <w:rPr>
          <w:rFonts w:hint="eastAsia"/>
          <w:sz w:val="22"/>
          <w:szCs w:val="21"/>
          <w:u w:val="single"/>
        </w:rPr>
        <w:t xml:space="preserve">                                    </w:t>
      </w:r>
    </w:p>
    <w:p>
      <w:pPr>
        <w:pStyle w:val="176"/>
        <w:numPr>
          <w:ilvl w:val="0"/>
          <w:numId w:val="0"/>
        </w:numPr>
        <w:spacing w:line="360" w:lineRule="auto"/>
        <w:ind w:left="105" w:leftChars="50" w:firstLine="440" w:firstLineChars="200"/>
        <w:rPr>
          <w:rFonts w:ascii="黑体" w:hAnsi="黑体" w:eastAsia="黑体"/>
          <w:sz w:val="22"/>
          <w:szCs w:val="21"/>
        </w:rPr>
      </w:pPr>
      <w:r>
        <w:rPr>
          <w:rFonts w:hint="eastAsia" w:ascii="黑体" w:hAnsi="黑体" w:eastAsia="黑体"/>
          <w:sz w:val="22"/>
          <w:szCs w:val="21"/>
        </w:rPr>
        <w:t>2、产品信息</w:t>
      </w:r>
    </w:p>
    <w:p>
      <w:pPr>
        <w:pStyle w:val="176"/>
        <w:numPr>
          <w:ilvl w:val="0"/>
          <w:numId w:val="0"/>
        </w:numPr>
        <w:spacing w:line="360" w:lineRule="auto"/>
        <w:ind w:left="105" w:leftChars="50" w:firstLine="770" w:firstLineChars="350"/>
        <w:rPr>
          <w:sz w:val="22"/>
          <w:szCs w:val="21"/>
          <w:u w:val="single"/>
        </w:rPr>
      </w:pPr>
      <w:r>
        <w:rPr>
          <w:rFonts w:hint="eastAsia"/>
          <w:sz w:val="22"/>
          <w:szCs w:val="21"/>
        </w:rPr>
        <w:t>产品名称：</w:t>
      </w:r>
      <w:r>
        <w:rPr>
          <w:rFonts w:hint="eastAsia"/>
          <w:sz w:val="22"/>
          <w:szCs w:val="21"/>
          <w:u w:val="single"/>
        </w:rPr>
        <w:t xml:space="preserve">                                    </w:t>
      </w:r>
    </w:p>
    <w:p>
      <w:pPr>
        <w:pStyle w:val="176"/>
        <w:numPr>
          <w:ilvl w:val="0"/>
          <w:numId w:val="0"/>
        </w:numPr>
        <w:spacing w:line="360" w:lineRule="auto"/>
        <w:ind w:left="105" w:leftChars="50" w:firstLine="770" w:firstLineChars="350"/>
        <w:rPr>
          <w:sz w:val="22"/>
          <w:szCs w:val="21"/>
          <w:u w:val="single"/>
        </w:rPr>
      </w:pPr>
      <w:r>
        <w:rPr>
          <w:rFonts w:hint="eastAsia"/>
          <w:sz w:val="22"/>
          <w:szCs w:val="21"/>
        </w:rPr>
        <w:t>产品功能：</w:t>
      </w:r>
      <w:r>
        <w:rPr>
          <w:rFonts w:hint="eastAsia"/>
          <w:sz w:val="22"/>
          <w:szCs w:val="21"/>
          <w:u w:val="single"/>
        </w:rPr>
        <w:t xml:space="preserve">                                    </w:t>
      </w:r>
    </w:p>
    <w:p>
      <w:pPr>
        <w:pStyle w:val="176"/>
        <w:numPr>
          <w:ilvl w:val="0"/>
          <w:numId w:val="0"/>
        </w:numPr>
        <w:spacing w:line="360" w:lineRule="auto"/>
        <w:ind w:left="105" w:leftChars="50" w:firstLine="770" w:firstLineChars="350"/>
        <w:rPr>
          <w:sz w:val="22"/>
          <w:szCs w:val="21"/>
          <w:u w:val="single"/>
        </w:rPr>
      </w:pPr>
      <w:r>
        <w:rPr>
          <w:rFonts w:hint="eastAsia"/>
          <w:sz w:val="22"/>
          <w:szCs w:val="21"/>
        </w:rPr>
        <w:t>产品介绍：</w:t>
      </w:r>
      <w:r>
        <w:rPr>
          <w:rFonts w:hint="eastAsia"/>
          <w:sz w:val="22"/>
          <w:szCs w:val="21"/>
          <w:u w:val="single"/>
        </w:rPr>
        <w:t xml:space="preserve">                                    </w:t>
      </w:r>
    </w:p>
    <w:p>
      <w:pPr>
        <w:pStyle w:val="176"/>
        <w:numPr>
          <w:ilvl w:val="0"/>
          <w:numId w:val="0"/>
        </w:numPr>
        <w:spacing w:line="360" w:lineRule="auto"/>
        <w:ind w:left="105" w:leftChars="50" w:firstLine="770" w:firstLineChars="350"/>
        <w:rPr>
          <w:sz w:val="22"/>
          <w:szCs w:val="21"/>
          <w:u w:val="single"/>
        </w:rPr>
      </w:pPr>
      <w:r>
        <w:rPr>
          <w:rFonts w:hint="eastAsia"/>
          <w:sz w:val="22"/>
          <w:szCs w:val="21"/>
        </w:rPr>
        <w:t>产品图片：</w:t>
      </w:r>
      <w:r>
        <w:rPr>
          <w:rFonts w:hint="eastAsia"/>
          <w:sz w:val="22"/>
          <w:szCs w:val="21"/>
          <w:u w:val="single"/>
        </w:rPr>
        <w:t xml:space="preserve">                                    </w:t>
      </w:r>
    </w:p>
    <w:p>
      <w:pPr>
        <w:pStyle w:val="176"/>
        <w:numPr>
          <w:ilvl w:val="0"/>
          <w:numId w:val="0"/>
        </w:numPr>
        <w:spacing w:line="360" w:lineRule="auto"/>
        <w:ind w:left="105" w:leftChars="50" w:firstLine="440" w:firstLineChars="200"/>
        <w:rPr>
          <w:rFonts w:ascii="黑体" w:hAnsi="黑体" w:eastAsia="黑体"/>
          <w:sz w:val="22"/>
          <w:szCs w:val="21"/>
        </w:rPr>
      </w:pPr>
      <w:r>
        <w:rPr>
          <w:rFonts w:hint="eastAsia" w:ascii="黑体" w:hAnsi="黑体" w:eastAsia="黑体"/>
          <w:sz w:val="22"/>
          <w:szCs w:val="21"/>
        </w:rPr>
        <w:t>3、量化方法</w:t>
      </w:r>
    </w:p>
    <w:p>
      <w:pPr>
        <w:pStyle w:val="176"/>
        <w:numPr>
          <w:ilvl w:val="0"/>
          <w:numId w:val="0"/>
        </w:numPr>
        <w:spacing w:line="360" w:lineRule="auto"/>
        <w:ind w:left="105" w:leftChars="50" w:firstLine="770" w:firstLineChars="350"/>
        <w:rPr>
          <w:sz w:val="22"/>
          <w:szCs w:val="21"/>
          <w:u w:val="single"/>
        </w:rPr>
      </w:pPr>
      <w:r>
        <w:rPr>
          <w:rFonts w:hint="eastAsia"/>
          <w:sz w:val="22"/>
          <w:szCs w:val="21"/>
        </w:rPr>
        <w:t>依据标准：</w:t>
      </w:r>
      <w:r>
        <w:rPr>
          <w:rFonts w:hint="eastAsia"/>
          <w:sz w:val="22"/>
          <w:szCs w:val="21"/>
          <w:u w:val="single"/>
        </w:rPr>
        <w:t xml:space="preserve">                                    </w:t>
      </w:r>
    </w:p>
    <w:p>
      <w:pPr>
        <w:pStyle w:val="176"/>
        <w:numPr>
          <w:ilvl w:val="0"/>
          <w:numId w:val="0"/>
        </w:numPr>
        <w:spacing w:line="360" w:lineRule="auto"/>
        <w:ind w:left="850" w:hanging="425"/>
        <w:rPr>
          <w:b/>
          <w:bCs/>
          <w:sz w:val="22"/>
          <w:szCs w:val="21"/>
        </w:rPr>
      </w:pPr>
      <w:r>
        <w:rPr>
          <w:rFonts w:hint="eastAsia"/>
          <w:b/>
          <w:bCs/>
          <w:sz w:val="22"/>
          <w:szCs w:val="21"/>
        </w:rPr>
        <w:t>二、量化目的</w:t>
      </w:r>
    </w:p>
    <w:p>
      <w:pPr>
        <w:pStyle w:val="176"/>
        <w:numPr>
          <w:ilvl w:val="0"/>
          <w:numId w:val="0"/>
        </w:numPr>
        <w:spacing w:line="360" w:lineRule="auto"/>
        <w:ind w:left="850" w:hanging="425"/>
        <w:rPr>
          <w:b/>
          <w:bCs/>
          <w:sz w:val="22"/>
          <w:szCs w:val="21"/>
        </w:rPr>
      </w:pPr>
      <w:r>
        <w:rPr>
          <w:rFonts w:hint="eastAsia"/>
          <w:b/>
          <w:bCs/>
          <w:sz w:val="22"/>
          <w:szCs w:val="21"/>
        </w:rPr>
        <w:t xml:space="preserve">    </w:t>
      </w:r>
      <w:r>
        <w:rPr>
          <w:sz w:val="22"/>
          <w:szCs w:val="21"/>
          <w:u w:val="single"/>
        </w:rPr>
        <w:t xml:space="preserve"> </w:t>
      </w:r>
      <w:r>
        <w:rPr>
          <w:rFonts w:hint="eastAsia"/>
          <w:sz w:val="22"/>
          <w:szCs w:val="21"/>
          <w:u w:val="single"/>
        </w:rPr>
        <w:t xml:space="preserve">                                  </w:t>
      </w:r>
    </w:p>
    <w:p>
      <w:pPr>
        <w:pStyle w:val="176"/>
        <w:numPr>
          <w:ilvl w:val="0"/>
          <w:numId w:val="0"/>
        </w:numPr>
        <w:spacing w:line="360" w:lineRule="auto"/>
        <w:ind w:left="850" w:hanging="425"/>
        <w:rPr>
          <w:rFonts w:ascii="黑体" w:hAnsi="黑体" w:eastAsia="黑体"/>
          <w:bCs/>
          <w:sz w:val="22"/>
          <w:szCs w:val="21"/>
        </w:rPr>
      </w:pPr>
      <w:r>
        <w:rPr>
          <w:rFonts w:hint="eastAsia" w:ascii="黑体" w:hAnsi="黑体" w:eastAsia="黑体"/>
          <w:bCs/>
          <w:sz w:val="22"/>
          <w:szCs w:val="21"/>
        </w:rPr>
        <w:t>三、量化范围</w:t>
      </w:r>
    </w:p>
    <w:p>
      <w:pPr>
        <w:pStyle w:val="176"/>
        <w:numPr>
          <w:ilvl w:val="0"/>
          <w:numId w:val="0"/>
        </w:numPr>
        <w:spacing w:line="360" w:lineRule="auto"/>
        <w:ind w:left="105" w:leftChars="50" w:firstLine="550" w:firstLineChars="250"/>
        <w:rPr>
          <w:rFonts w:ascii="黑体" w:hAnsi="黑体" w:eastAsia="黑体"/>
          <w:sz w:val="22"/>
          <w:szCs w:val="21"/>
        </w:rPr>
      </w:pPr>
      <w:r>
        <w:rPr>
          <w:rFonts w:hint="eastAsia" w:ascii="黑体" w:hAnsi="黑体" w:eastAsia="黑体"/>
          <w:sz w:val="22"/>
          <w:szCs w:val="21"/>
        </w:rPr>
        <w:t>1、声明单位</w:t>
      </w:r>
    </w:p>
    <w:p>
      <w:pPr>
        <w:pStyle w:val="176"/>
        <w:numPr>
          <w:ilvl w:val="0"/>
          <w:numId w:val="0"/>
        </w:numPr>
        <w:spacing w:line="360" w:lineRule="auto"/>
        <w:ind w:left="105" w:leftChars="50" w:firstLine="880" w:firstLineChars="400"/>
        <w:rPr>
          <w:sz w:val="22"/>
          <w:szCs w:val="21"/>
        </w:rPr>
      </w:pPr>
      <w:r>
        <w:rPr>
          <w:rFonts w:hint="eastAsia"/>
          <w:sz w:val="22"/>
          <w:szCs w:val="21"/>
        </w:rPr>
        <w:t>以</w:t>
      </w:r>
      <w:r>
        <w:rPr>
          <w:rFonts w:hint="eastAsia"/>
          <w:sz w:val="22"/>
          <w:szCs w:val="21"/>
          <w:u w:val="single"/>
        </w:rPr>
        <w:t xml:space="preserve">                    </w:t>
      </w:r>
      <w:r>
        <w:rPr>
          <w:rFonts w:hint="eastAsia"/>
          <w:sz w:val="22"/>
          <w:szCs w:val="21"/>
        </w:rPr>
        <w:t>为</w:t>
      </w:r>
      <w:r>
        <w:rPr>
          <w:sz w:val="22"/>
          <w:szCs w:val="21"/>
        </w:rPr>
        <w:t>声明单位</w:t>
      </w:r>
      <w:r>
        <w:rPr>
          <w:rFonts w:hint="eastAsia"/>
          <w:sz w:val="22"/>
          <w:szCs w:val="21"/>
        </w:rPr>
        <w:t>。</w:t>
      </w:r>
    </w:p>
    <w:p>
      <w:pPr>
        <w:pStyle w:val="176"/>
        <w:numPr>
          <w:ilvl w:val="0"/>
          <w:numId w:val="0"/>
        </w:numPr>
        <w:spacing w:line="360" w:lineRule="auto"/>
        <w:ind w:left="105" w:leftChars="50" w:firstLine="550" w:firstLineChars="250"/>
        <w:rPr>
          <w:rFonts w:ascii="黑体" w:hAnsi="黑体" w:eastAsia="黑体"/>
          <w:sz w:val="22"/>
          <w:szCs w:val="21"/>
        </w:rPr>
      </w:pPr>
      <w:r>
        <w:rPr>
          <w:rFonts w:hint="eastAsia" w:ascii="黑体" w:hAnsi="黑体" w:eastAsia="黑体"/>
          <w:sz w:val="22"/>
          <w:szCs w:val="21"/>
        </w:rPr>
        <w:t>2、系统边界</w:t>
      </w:r>
    </w:p>
    <w:p>
      <w:pPr>
        <w:pStyle w:val="176"/>
        <w:numPr>
          <w:ilvl w:val="0"/>
          <w:numId w:val="0"/>
        </w:numPr>
        <w:spacing w:line="360" w:lineRule="auto"/>
        <w:ind w:left="105" w:leftChars="50" w:firstLine="880" w:firstLineChars="400"/>
        <w:rPr>
          <w:sz w:val="22"/>
          <w:szCs w:val="21"/>
        </w:rPr>
      </w:pPr>
      <w:r>
        <w:rPr>
          <w:rFonts w:hint="eastAsia"/>
          <w:sz w:val="22"/>
          <w:szCs w:val="21"/>
        </w:rPr>
        <w:t>□ 原材料和</w:t>
      </w:r>
      <w:r>
        <w:rPr>
          <w:sz w:val="22"/>
          <w:szCs w:val="21"/>
        </w:rPr>
        <w:t>能源获取阶段</w:t>
      </w:r>
      <w:r>
        <w:rPr>
          <w:rFonts w:hint="eastAsia"/>
          <w:sz w:val="22"/>
          <w:szCs w:val="21"/>
        </w:rPr>
        <w:t xml:space="preserve"> □ 产品生产阶段</w:t>
      </w:r>
    </w:p>
    <w:p>
      <w:pPr>
        <w:pStyle w:val="176"/>
        <w:numPr>
          <w:ilvl w:val="0"/>
          <w:numId w:val="0"/>
        </w:numPr>
        <w:spacing w:line="360" w:lineRule="auto"/>
        <w:ind w:left="105" w:leftChars="50" w:firstLine="880" w:firstLineChars="400"/>
        <w:rPr>
          <w:sz w:val="22"/>
          <w:szCs w:val="21"/>
        </w:rPr>
      </w:pPr>
      <w:r>
        <w:rPr>
          <w:rFonts w:hint="eastAsia"/>
          <w:sz w:val="22"/>
          <w:szCs w:val="21"/>
        </w:rPr>
        <w:t>系统</w:t>
      </w:r>
      <w:r>
        <w:rPr>
          <w:sz w:val="22"/>
          <w:szCs w:val="21"/>
        </w:rPr>
        <w:t>边界图</w:t>
      </w:r>
      <w:r>
        <w:rPr>
          <w:rFonts w:hint="eastAsia"/>
          <w:sz w:val="22"/>
          <w:szCs w:val="21"/>
          <w:lang w:eastAsia="zh-CN"/>
        </w:rPr>
        <w:t>。</w:t>
      </w:r>
      <w:bookmarkStart w:id="173" w:name="_GoBack"/>
      <w:bookmarkEnd w:id="173"/>
    </w:p>
    <w:p>
      <w:pPr>
        <w:pStyle w:val="85"/>
        <w:spacing w:before="156" w:after="156" w:line="360" w:lineRule="auto"/>
        <w:ind w:firstLine="0"/>
      </w:pPr>
      <w:r>
        <w:rPr>
          <w:rFonts w:hint="eastAsia"/>
        </w:rPr>
        <w:t>XX产品</w:t>
      </w:r>
      <w:r>
        <w:t>碳足迹</w:t>
      </w:r>
      <w:r>
        <w:rPr>
          <w:rFonts w:hint="eastAsia"/>
        </w:rPr>
        <w:t>量化</w:t>
      </w:r>
      <w:r>
        <w:t>系统</w:t>
      </w:r>
      <w:r>
        <w:rPr>
          <w:rFonts w:hint="eastAsia"/>
        </w:rPr>
        <w:t>边界</w:t>
      </w:r>
      <w:r>
        <w:t>图</w:t>
      </w:r>
    </w:p>
    <w:p>
      <w:pPr>
        <w:pStyle w:val="58"/>
        <w:spacing w:line="360" w:lineRule="auto"/>
        <w:ind w:firstLine="770" w:firstLineChars="350"/>
        <w:rPr>
          <w:rFonts w:ascii="黑体" w:hAnsi="黑体" w:eastAsia="黑体"/>
          <w:sz w:val="22"/>
          <w:szCs w:val="21"/>
        </w:rPr>
      </w:pPr>
      <w:r>
        <w:rPr>
          <w:rFonts w:hint="eastAsia" w:ascii="黑体" w:hAnsi="黑体" w:eastAsia="黑体"/>
          <w:sz w:val="22"/>
          <w:szCs w:val="21"/>
        </w:rPr>
        <w:t>3、取舍准则</w:t>
      </w:r>
    </w:p>
    <w:p>
      <w:pPr>
        <w:pStyle w:val="58"/>
        <w:spacing w:line="360" w:lineRule="auto"/>
        <w:ind w:firstLine="1320" w:firstLineChars="600"/>
        <w:rPr>
          <w:sz w:val="22"/>
          <w:szCs w:val="21"/>
        </w:rPr>
      </w:pPr>
      <w:r>
        <w:rPr>
          <w:rFonts w:hint="eastAsia"/>
          <w:sz w:val="22"/>
          <w:szCs w:val="21"/>
        </w:rPr>
        <w:t>采用</w:t>
      </w:r>
      <w:r>
        <w:rPr>
          <w:sz w:val="22"/>
          <w:szCs w:val="21"/>
        </w:rPr>
        <w:t>的取舍准则以</w:t>
      </w:r>
      <w:r>
        <w:rPr>
          <w:rFonts w:hint="eastAsia"/>
          <w:sz w:val="22"/>
          <w:szCs w:val="21"/>
          <w:u w:val="single"/>
        </w:rPr>
        <w:t xml:space="preserve">                    </w:t>
      </w:r>
      <w:r>
        <w:rPr>
          <w:rFonts w:hint="eastAsia"/>
          <w:sz w:val="22"/>
          <w:szCs w:val="21"/>
        </w:rPr>
        <w:t>为</w:t>
      </w:r>
      <w:r>
        <w:rPr>
          <w:sz w:val="22"/>
          <w:szCs w:val="21"/>
        </w:rPr>
        <w:t>依据，</w:t>
      </w:r>
      <w:r>
        <w:rPr>
          <w:rFonts w:hint="eastAsia"/>
          <w:sz w:val="22"/>
          <w:szCs w:val="21"/>
        </w:rPr>
        <w:t>具体</w:t>
      </w:r>
      <w:r>
        <w:rPr>
          <w:sz w:val="22"/>
          <w:szCs w:val="21"/>
        </w:rPr>
        <w:t>规则如下：</w:t>
      </w:r>
    </w:p>
    <w:p>
      <w:pPr>
        <w:pStyle w:val="58"/>
        <w:spacing w:line="360" w:lineRule="auto"/>
        <w:ind w:firstLine="209" w:firstLineChars="95"/>
        <w:rPr>
          <w:rFonts w:ascii="黑体" w:hAnsi="黑体" w:eastAsia="黑体"/>
          <w:sz w:val="22"/>
          <w:szCs w:val="21"/>
        </w:rPr>
      </w:pPr>
      <w:r>
        <w:rPr>
          <w:rFonts w:hint="eastAsia"/>
          <w:sz w:val="22"/>
          <w:szCs w:val="21"/>
        </w:rPr>
        <w:t xml:space="preserve">     </w:t>
      </w:r>
      <w:r>
        <w:rPr>
          <w:rFonts w:hint="eastAsia" w:ascii="黑体" w:hAnsi="黑体" w:eastAsia="黑体"/>
          <w:sz w:val="22"/>
          <w:szCs w:val="21"/>
        </w:rPr>
        <w:t>4、时间范围</w:t>
      </w:r>
    </w:p>
    <w:p>
      <w:pPr>
        <w:pStyle w:val="58"/>
        <w:spacing w:line="360" w:lineRule="auto"/>
        <w:ind w:firstLine="209" w:firstLineChars="95"/>
        <w:rPr>
          <w:sz w:val="22"/>
          <w:szCs w:val="21"/>
        </w:rPr>
      </w:pPr>
      <w:r>
        <w:rPr>
          <w:rFonts w:hint="eastAsia" w:ascii="黑体" w:hAnsi="黑体" w:eastAsia="黑体"/>
          <w:sz w:val="22"/>
          <w:szCs w:val="21"/>
        </w:rPr>
        <w:t xml:space="preserve"> </w:t>
      </w:r>
      <w:r>
        <w:rPr>
          <w:rFonts w:ascii="黑体" w:hAnsi="黑体" w:eastAsia="黑体"/>
          <w:sz w:val="22"/>
          <w:szCs w:val="21"/>
        </w:rPr>
        <w:t xml:space="preserve">         </w:t>
      </w:r>
      <w:r>
        <w:rPr>
          <w:rFonts w:hint="eastAsia"/>
          <w:sz w:val="22"/>
          <w:szCs w:val="21"/>
          <w:u w:val="single"/>
        </w:rPr>
        <w:t xml:space="preserve">                    </w:t>
      </w:r>
      <w:r>
        <w:rPr>
          <w:rFonts w:hint="eastAsia"/>
          <w:sz w:val="22"/>
          <w:szCs w:val="21"/>
        </w:rPr>
        <w:t>年度。</w:t>
      </w:r>
    </w:p>
    <w:p>
      <w:pPr>
        <w:pStyle w:val="58"/>
        <w:spacing w:line="360" w:lineRule="auto"/>
        <w:ind w:firstLine="199" w:firstLineChars="95"/>
        <w:rPr>
          <w:rFonts w:ascii="黑体" w:hAnsi="黑体" w:eastAsia="黑体"/>
          <w:bCs/>
          <w:sz w:val="22"/>
          <w:szCs w:val="21"/>
        </w:rPr>
      </w:pPr>
      <w:r>
        <w:rPr>
          <w:rFonts w:hint="eastAsia"/>
        </w:rPr>
        <w:t xml:space="preserve">  </w:t>
      </w:r>
      <w:r>
        <w:rPr>
          <w:rFonts w:hint="eastAsia" w:ascii="黑体" w:hAnsi="黑体" w:eastAsia="黑体"/>
          <w:bCs/>
          <w:sz w:val="22"/>
          <w:szCs w:val="21"/>
        </w:rPr>
        <w:t>四、清单分析</w:t>
      </w:r>
    </w:p>
    <w:p>
      <w:pPr>
        <w:pStyle w:val="58"/>
        <w:spacing w:line="360" w:lineRule="auto"/>
        <w:ind w:firstLine="209" w:firstLineChars="95"/>
        <w:rPr>
          <w:rFonts w:ascii="黑体" w:hAnsi="黑体" w:eastAsia="黑体"/>
          <w:sz w:val="22"/>
          <w:szCs w:val="21"/>
        </w:rPr>
      </w:pPr>
      <w:r>
        <w:rPr>
          <w:rFonts w:hint="eastAsia" w:ascii="黑体" w:hAnsi="黑体" w:eastAsia="黑体"/>
          <w:bCs/>
          <w:sz w:val="22"/>
          <w:szCs w:val="21"/>
        </w:rPr>
        <w:t xml:space="preserve">   </w:t>
      </w:r>
      <w:r>
        <w:rPr>
          <w:rFonts w:ascii="黑体" w:hAnsi="黑体" w:eastAsia="黑体"/>
          <w:bCs/>
          <w:sz w:val="22"/>
          <w:szCs w:val="21"/>
        </w:rPr>
        <w:t xml:space="preserve"> </w:t>
      </w:r>
      <w:r>
        <w:rPr>
          <w:rFonts w:hint="eastAsia" w:ascii="黑体" w:hAnsi="黑体" w:eastAsia="黑体"/>
          <w:sz w:val="22"/>
          <w:szCs w:val="21"/>
        </w:rPr>
        <w:t>1、数据来源说明</w:t>
      </w:r>
    </w:p>
    <w:p>
      <w:pPr>
        <w:pStyle w:val="58"/>
        <w:spacing w:line="360" w:lineRule="auto"/>
        <w:ind w:firstLine="199" w:firstLineChars="95"/>
        <w:rPr>
          <w:sz w:val="22"/>
          <w:szCs w:val="21"/>
        </w:rPr>
      </w:pPr>
      <w:r>
        <w:rPr>
          <w:rFonts w:hint="eastAsia"/>
        </w:rPr>
        <w:t xml:space="preserve">    </w:t>
      </w:r>
      <w:r>
        <w:t xml:space="preserve">   </w:t>
      </w:r>
      <w:r>
        <w:rPr>
          <w:rFonts w:hint="eastAsia"/>
          <w:sz w:val="22"/>
          <w:szCs w:val="21"/>
        </w:rPr>
        <w:t>初级数据：</w:t>
      </w:r>
      <w:r>
        <w:rPr>
          <w:rFonts w:hint="eastAsia"/>
          <w:sz w:val="22"/>
          <w:szCs w:val="21"/>
          <w:u w:val="single"/>
        </w:rPr>
        <w:t xml:space="preserve">                    </w:t>
      </w:r>
      <w:r>
        <w:rPr>
          <w:rFonts w:hint="eastAsia"/>
          <w:sz w:val="22"/>
          <w:szCs w:val="21"/>
        </w:rPr>
        <w:t>；</w:t>
      </w:r>
    </w:p>
    <w:p>
      <w:pPr>
        <w:pStyle w:val="58"/>
        <w:spacing w:line="360" w:lineRule="auto"/>
        <w:ind w:firstLine="209" w:firstLineChars="95"/>
        <w:rPr>
          <w:sz w:val="22"/>
          <w:szCs w:val="21"/>
        </w:rPr>
      </w:pPr>
      <w:r>
        <w:rPr>
          <w:sz w:val="22"/>
          <w:szCs w:val="21"/>
        </w:rPr>
        <w:t xml:space="preserve">       </w:t>
      </w:r>
      <w:r>
        <w:rPr>
          <w:rFonts w:hint="eastAsia"/>
          <w:sz w:val="22"/>
          <w:szCs w:val="21"/>
        </w:rPr>
        <w:t>次级数据：</w:t>
      </w:r>
      <w:r>
        <w:rPr>
          <w:rFonts w:hint="eastAsia"/>
          <w:sz w:val="22"/>
          <w:szCs w:val="21"/>
          <w:u w:val="single"/>
        </w:rPr>
        <w:t xml:space="preserve">                    </w:t>
      </w:r>
      <w:r>
        <w:rPr>
          <w:rFonts w:hint="eastAsia"/>
          <w:sz w:val="22"/>
          <w:szCs w:val="21"/>
        </w:rPr>
        <w:t>；</w:t>
      </w:r>
    </w:p>
    <w:p>
      <w:pPr>
        <w:pStyle w:val="58"/>
        <w:spacing w:line="360" w:lineRule="auto"/>
        <w:ind w:firstLine="649" w:firstLineChars="295"/>
        <w:rPr>
          <w:rFonts w:ascii="黑体" w:hAnsi="黑体" w:eastAsia="黑体"/>
          <w:sz w:val="22"/>
          <w:szCs w:val="21"/>
        </w:rPr>
      </w:pPr>
      <w:r>
        <w:rPr>
          <w:rFonts w:hint="eastAsia" w:ascii="黑体" w:hAnsi="黑体" w:eastAsia="黑体"/>
          <w:sz w:val="22"/>
          <w:szCs w:val="21"/>
        </w:rPr>
        <w:t>2、分配原则与程序</w:t>
      </w:r>
    </w:p>
    <w:p>
      <w:pPr>
        <w:pStyle w:val="58"/>
        <w:spacing w:line="360" w:lineRule="auto"/>
        <w:ind w:firstLine="539" w:firstLineChars="245"/>
        <w:rPr>
          <w:sz w:val="22"/>
          <w:szCs w:val="21"/>
        </w:rPr>
      </w:pPr>
      <w:r>
        <w:rPr>
          <w:rFonts w:hint="eastAsia" w:ascii="黑体" w:hAnsi="黑体" w:eastAsia="黑体"/>
          <w:sz w:val="22"/>
          <w:szCs w:val="21"/>
        </w:rPr>
        <w:t xml:space="preserve">   </w:t>
      </w:r>
      <w:r>
        <w:rPr>
          <w:rFonts w:ascii="黑体" w:hAnsi="黑体" w:eastAsia="黑体"/>
          <w:sz w:val="22"/>
          <w:szCs w:val="21"/>
        </w:rPr>
        <w:t xml:space="preserve"> </w:t>
      </w:r>
      <w:r>
        <w:rPr>
          <w:rFonts w:hint="eastAsia"/>
          <w:sz w:val="22"/>
          <w:szCs w:val="21"/>
        </w:rPr>
        <w:t>分配依据：</w:t>
      </w:r>
      <w:r>
        <w:rPr>
          <w:rFonts w:hint="eastAsia"/>
          <w:sz w:val="22"/>
          <w:szCs w:val="21"/>
          <w:u w:val="single"/>
        </w:rPr>
        <w:t xml:space="preserve">                    </w:t>
      </w:r>
      <w:r>
        <w:rPr>
          <w:rFonts w:hint="eastAsia"/>
          <w:sz w:val="22"/>
          <w:szCs w:val="21"/>
        </w:rPr>
        <w:t>；</w:t>
      </w:r>
    </w:p>
    <w:p>
      <w:pPr>
        <w:pStyle w:val="58"/>
        <w:spacing w:line="360" w:lineRule="auto"/>
        <w:ind w:firstLine="514" w:firstLineChars="245"/>
        <w:rPr>
          <w:sz w:val="22"/>
          <w:szCs w:val="21"/>
        </w:rPr>
      </w:pPr>
      <w:r>
        <w:t xml:space="preserve">    </w:t>
      </w:r>
      <w:r>
        <w:rPr>
          <w:rFonts w:hint="eastAsia"/>
          <w:sz w:val="22"/>
          <w:szCs w:val="21"/>
        </w:rPr>
        <w:t>分配程序：</w:t>
      </w:r>
      <w:r>
        <w:rPr>
          <w:rFonts w:hint="eastAsia"/>
          <w:sz w:val="22"/>
          <w:szCs w:val="21"/>
          <w:u w:val="single"/>
        </w:rPr>
        <w:t xml:space="preserve">                    </w:t>
      </w:r>
      <w:r>
        <w:rPr>
          <w:rFonts w:hint="eastAsia"/>
          <w:sz w:val="22"/>
          <w:szCs w:val="21"/>
        </w:rPr>
        <w:t>；</w:t>
      </w:r>
    </w:p>
    <w:p>
      <w:pPr>
        <w:pStyle w:val="58"/>
        <w:spacing w:line="360" w:lineRule="auto"/>
        <w:ind w:firstLine="539" w:firstLineChars="245"/>
        <w:rPr>
          <w:sz w:val="22"/>
          <w:szCs w:val="21"/>
        </w:rPr>
      </w:pPr>
      <w:r>
        <w:rPr>
          <w:rFonts w:hint="eastAsia"/>
          <w:sz w:val="22"/>
          <w:szCs w:val="21"/>
        </w:rPr>
        <w:t xml:space="preserve">   </w:t>
      </w:r>
      <w:r>
        <w:rPr>
          <w:sz w:val="22"/>
          <w:szCs w:val="21"/>
        </w:rPr>
        <w:t xml:space="preserve"> </w:t>
      </w:r>
      <w:r>
        <w:rPr>
          <w:rFonts w:hint="eastAsia"/>
          <w:sz w:val="22"/>
          <w:szCs w:val="21"/>
        </w:rPr>
        <w:t>具体分配情况如下：</w:t>
      </w:r>
    </w:p>
    <w:p>
      <w:pPr>
        <w:pStyle w:val="58"/>
        <w:ind w:firstLine="660" w:firstLineChars="300"/>
      </w:pPr>
      <w:r>
        <w:rPr>
          <w:rFonts w:hint="eastAsia" w:ascii="黑体" w:hAnsi="黑体" w:eastAsia="黑体"/>
          <w:sz w:val="22"/>
          <w:szCs w:val="21"/>
        </w:rPr>
        <w:t>3、清单结果及计算</w:t>
      </w:r>
    </w:p>
    <w:p>
      <w:pPr>
        <w:pStyle w:val="79"/>
        <w:spacing w:before="156" w:after="156" w:line="360" w:lineRule="auto"/>
        <w:ind w:firstLine="0"/>
      </w:pPr>
      <w:r>
        <w:rPr>
          <w:rFonts w:hint="eastAsia"/>
          <w:sz w:val="22"/>
          <w:szCs w:val="21"/>
          <w:u w:val="single"/>
        </w:rPr>
        <w:t xml:space="preserve">             </w:t>
      </w:r>
      <w:r>
        <w:rPr>
          <w:rFonts w:hint="eastAsia"/>
        </w:rPr>
        <w:t>生命周期碳排放清单说明</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1166"/>
        <w:gridCol w:w="2331"/>
        <w:gridCol w:w="2332"/>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2" w:type="dxa"/>
            <w:gridSpan w:val="2"/>
            <w:vAlign w:val="center"/>
          </w:tcPr>
          <w:p>
            <w:pPr>
              <w:pStyle w:val="58"/>
              <w:spacing w:line="360" w:lineRule="auto"/>
              <w:ind w:firstLine="450" w:firstLineChars="250"/>
              <w:jc w:val="left"/>
              <w:rPr>
                <w:sz w:val="18"/>
                <w:szCs w:val="18"/>
              </w:rPr>
            </w:pPr>
            <w:r>
              <w:rPr>
                <w:rFonts w:hint="eastAsia"/>
                <w:sz w:val="18"/>
                <w:szCs w:val="18"/>
              </w:rPr>
              <w:t>生命周期阶段</w:t>
            </w:r>
          </w:p>
        </w:tc>
        <w:tc>
          <w:tcPr>
            <w:tcW w:w="2331" w:type="dxa"/>
            <w:vAlign w:val="center"/>
          </w:tcPr>
          <w:p>
            <w:pPr>
              <w:pStyle w:val="58"/>
              <w:spacing w:line="360" w:lineRule="auto"/>
              <w:ind w:firstLine="720" w:firstLineChars="400"/>
              <w:jc w:val="left"/>
              <w:rPr>
                <w:sz w:val="18"/>
                <w:szCs w:val="18"/>
              </w:rPr>
            </w:pPr>
            <w:r>
              <w:rPr>
                <w:rFonts w:hint="eastAsia"/>
                <w:sz w:val="18"/>
                <w:szCs w:val="18"/>
              </w:rPr>
              <w:t>活动数据</w:t>
            </w:r>
          </w:p>
        </w:tc>
        <w:tc>
          <w:tcPr>
            <w:tcW w:w="2332" w:type="dxa"/>
            <w:vAlign w:val="center"/>
          </w:tcPr>
          <w:p>
            <w:pPr>
              <w:pStyle w:val="58"/>
              <w:spacing w:line="360" w:lineRule="auto"/>
              <w:ind w:firstLine="289" w:firstLineChars="161"/>
              <w:jc w:val="left"/>
              <w:rPr>
                <w:sz w:val="18"/>
                <w:szCs w:val="18"/>
              </w:rPr>
            </w:pPr>
            <w:r>
              <w:rPr>
                <w:rFonts w:hint="eastAsia"/>
                <w:sz w:val="18"/>
                <w:szCs w:val="18"/>
              </w:rPr>
              <w:t>温室气体排放因子</w:t>
            </w:r>
          </w:p>
        </w:tc>
        <w:tc>
          <w:tcPr>
            <w:tcW w:w="2349" w:type="dxa"/>
          </w:tcPr>
          <w:p>
            <w:pPr>
              <w:pStyle w:val="58"/>
              <w:spacing w:line="360" w:lineRule="auto"/>
              <w:ind w:left="105" w:leftChars="50" w:firstLine="720" w:firstLineChars="400"/>
              <w:jc w:val="left"/>
              <w:rPr>
                <w:sz w:val="18"/>
                <w:szCs w:val="18"/>
              </w:rPr>
            </w:pPr>
            <w:r>
              <w:rPr>
                <w:rFonts w:hint="eastAsia"/>
                <w:sz w:val="18"/>
                <w:szCs w:val="18"/>
              </w:rPr>
              <w:t>t</w:t>
            </w:r>
            <w:r>
              <w:rPr>
                <w:sz w:val="18"/>
                <w:szCs w:val="18"/>
              </w:rPr>
              <w:t>CO</w:t>
            </w:r>
            <w:r>
              <w:rPr>
                <w:rFonts w:ascii="Cambria Math" w:hAnsi="Cambria Math" w:cs="Cambria Math"/>
                <w:sz w:val="18"/>
                <w:szCs w:val="18"/>
              </w:rPr>
              <w:t>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2" w:type="dxa"/>
            <w:gridSpan w:val="2"/>
            <w:vMerge w:val="restart"/>
            <w:vAlign w:val="center"/>
          </w:tcPr>
          <w:p>
            <w:pPr>
              <w:pStyle w:val="58"/>
              <w:spacing w:line="360" w:lineRule="auto"/>
              <w:ind w:firstLine="0" w:firstLineChars="0"/>
              <w:jc w:val="center"/>
              <w:rPr>
                <w:sz w:val="18"/>
                <w:szCs w:val="18"/>
              </w:rPr>
            </w:pPr>
            <w:r>
              <w:rPr>
                <w:rFonts w:hint="eastAsia"/>
                <w:sz w:val="18"/>
                <w:szCs w:val="18"/>
              </w:rPr>
              <w:t>原材料和</w:t>
            </w:r>
            <w:r>
              <w:rPr>
                <w:sz w:val="18"/>
                <w:szCs w:val="18"/>
              </w:rPr>
              <w:t>能源</w:t>
            </w:r>
            <w:r>
              <w:rPr>
                <w:rFonts w:hint="eastAsia"/>
                <w:sz w:val="18"/>
                <w:szCs w:val="18"/>
              </w:rPr>
              <w:t>获取</w:t>
            </w:r>
          </w:p>
        </w:tc>
        <w:tc>
          <w:tcPr>
            <w:tcW w:w="2331" w:type="dxa"/>
          </w:tcPr>
          <w:p>
            <w:pPr>
              <w:pStyle w:val="58"/>
              <w:spacing w:line="360" w:lineRule="auto"/>
              <w:ind w:firstLine="0" w:firstLineChars="0"/>
              <w:jc w:val="left"/>
              <w:rPr>
                <w:sz w:val="18"/>
                <w:szCs w:val="18"/>
              </w:rPr>
            </w:pPr>
          </w:p>
        </w:tc>
        <w:tc>
          <w:tcPr>
            <w:tcW w:w="2332" w:type="dxa"/>
          </w:tcPr>
          <w:p>
            <w:pPr>
              <w:pStyle w:val="58"/>
              <w:spacing w:line="360" w:lineRule="auto"/>
              <w:ind w:firstLine="0" w:firstLineChars="0"/>
              <w:jc w:val="left"/>
              <w:rPr>
                <w:sz w:val="18"/>
                <w:szCs w:val="18"/>
              </w:rPr>
            </w:pPr>
          </w:p>
        </w:tc>
        <w:tc>
          <w:tcPr>
            <w:tcW w:w="2349" w:type="dxa"/>
          </w:tcPr>
          <w:p>
            <w:pPr>
              <w:pStyle w:val="58"/>
              <w:spacing w:line="360" w:lineRule="auto"/>
              <w:ind w:firstLine="0" w:firstLineChars="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2" w:type="dxa"/>
            <w:gridSpan w:val="2"/>
            <w:vMerge w:val="continue"/>
            <w:vAlign w:val="center"/>
          </w:tcPr>
          <w:p>
            <w:pPr>
              <w:pStyle w:val="58"/>
              <w:spacing w:line="360" w:lineRule="auto"/>
              <w:ind w:firstLine="0" w:firstLineChars="0"/>
              <w:jc w:val="center"/>
              <w:rPr>
                <w:sz w:val="18"/>
                <w:szCs w:val="18"/>
              </w:rPr>
            </w:pPr>
          </w:p>
        </w:tc>
        <w:tc>
          <w:tcPr>
            <w:tcW w:w="2331" w:type="dxa"/>
          </w:tcPr>
          <w:p>
            <w:pPr>
              <w:pStyle w:val="58"/>
              <w:spacing w:line="360" w:lineRule="auto"/>
              <w:ind w:firstLine="0" w:firstLineChars="0"/>
              <w:jc w:val="left"/>
              <w:rPr>
                <w:sz w:val="18"/>
                <w:szCs w:val="18"/>
              </w:rPr>
            </w:pPr>
          </w:p>
        </w:tc>
        <w:tc>
          <w:tcPr>
            <w:tcW w:w="2332" w:type="dxa"/>
          </w:tcPr>
          <w:p>
            <w:pPr>
              <w:pStyle w:val="58"/>
              <w:spacing w:line="360" w:lineRule="auto"/>
              <w:ind w:firstLine="0" w:firstLineChars="0"/>
              <w:jc w:val="left"/>
              <w:rPr>
                <w:sz w:val="18"/>
                <w:szCs w:val="18"/>
              </w:rPr>
            </w:pPr>
          </w:p>
        </w:tc>
        <w:tc>
          <w:tcPr>
            <w:tcW w:w="2349" w:type="dxa"/>
          </w:tcPr>
          <w:p>
            <w:pPr>
              <w:pStyle w:val="58"/>
              <w:spacing w:line="360" w:lineRule="auto"/>
              <w:ind w:firstLine="0" w:firstLineChars="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32" w:type="dxa"/>
            <w:gridSpan w:val="2"/>
            <w:vMerge w:val="continue"/>
            <w:vAlign w:val="center"/>
          </w:tcPr>
          <w:p>
            <w:pPr>
              <w:pStyle w:val="58"/>
              <w:spacing w:line="360" w:lineRule="auto"/>
              <w:ind w:firstLine="0" w:firstLineChars="0"/>
              <w:jc w:val="center"/>
              <w:rPr>
                <w:sz w:val="18"/>
                <w:szCs w:val="18"/>
              </w:rPr>
            </w:pPr>
          </w:p>
        </w:tc>
        <w:tc>
          <w:tcPr>
            <w:tcW w:w="2331" w:type="dxa"/>
          </w:tcPr>
          <w:p>
            <w:pPr>
              <w:pStyle w:val="58"/>
              <w:spacing w:line="360" w:lineRule="auto"/>
              <w:ind w:firstLine="0" w:firstLineChars="0"/>
              <w:jc w:val="left"/>
              <w:rPr>
                <w:sz w:val="18"/>
                <w:szCs w:val="18"/>
              </w:rPr>
            </w:pPr>
          </w:p>
        </w:tc>
        <w:tc>
          <w:tcPr>
            <w:tcW w:w="2332" w:type="dxa"/>
          </w:tcPr>
          <w:p>
            <w:pPr>
              <w:pStyle w:val="58"/>
              <w:spacing w:line="360" w:lineRule="auto"/>
              <w:ind w:firstLine="0" w:firstLineChars="0"/>
              <w:jc w:val="left"/>
              <w:rPr>
                <w:sz w:val="18"/>
                <w:szCs w:val="18"/>
              </w:rPr>
            </w:pPr>
          </w:p>
        </w:tc>
        <w:tc>
          <w:tcPr>
            <w:tcW w:w="2349" w:type="dxa"/>
          </w:tcPr>
          <w:p>
            <w:pPr>
              <w:pStyle w:val="58"/>
              <w:spacing w:line="360" w:lineRule="auto"/>
              <w:ind w:firstLine="0" w:firstLineChars="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2" w:type="dxa"/>
            <w:gridSpan w:val="2"/>
            <w:vMerge w:val="continue"/>
            <w:vAlign w:val="center"/>
          </w:tcPr>
          <w:p>
            <w:pPr>
              <w:pStyle w:val="58"/>
              <w:spacing w:line="360" w:lineRule="auto"/>
              <w:ind w:firstLine="0" w:firstLineChars="0"/>
              <w:jc w:val="center"/>
              <w:rPr>
                <w:sz w:val="18"/>
                <w:szCs w:val="18"/>
              </w:rPr>
            </w:pPr>
          </w:p>
        </w:tc>
        <w:tc>
          <w:tcPr>
            <w:tcW w:w="2331" w:type="dxa"/>
          </w:tcPr>
          <w:p>
            <w:pPr>
              <w:pStyle w:val="58"/>
              <w:spacing w:line="360" w:lineRule="auto"/>
              <w:ind w:firstLine="0" w:firstLineChars="0"/>
              <w:jc w:val="left"/>
              <w:rPr>
                <w:sz w:val="18"/>
                <w:szCs w:val="18"/>
              </w:rPr>
            </w:pPr>
          </w:p>
        </w:tc>
        <w:tc>
          <w:tcPr>
            <w:tcW w:w="2332" w:type="dxa"/>
          </w:tcPr>
          <w:p>
            <w:pPr>
              <w:pStyle w:val="58"/>
              <w:spacing w:line="360" w:lineRule="auto"/>
              <w:ind w:firstLine="0" w:firstLineChars="0"/>
              <w:jc w:val="left"/>
              <w:rPr>
                <w:sz w:val="18"/>
                <w:szCs w:val="18"/>
              </w:rPr>
            </w:pPr>
          </w:p>
        </w:tc>
        <w:tc>
          <w:tcPr>
            <w:tcW w:w="2349" w:type="dxa"/>
          </w:tcPr>
          <w:p>
            <w:pPr>
              <w:pStyle w:val="58"/>
              <w:spacing w:line="360" w:lineRule="auto"/>
              <w:ind w:firstLine="0" w:firstLineChars="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2" w:type="dxa"/>
            <w:gridSpan w:val="2"/>
            <w:vMerge w:val="restart"/>
            <w:vAlign w:val="center"/>
          </w:tcPr>
          <w:p>
            <w:pPr>
              <w:pStyle w:val="58"/>
              <w:spacing w:line="360" w:lineRule="auto"/>
              <w:ind w:firstLine="0" w:firstLineChars="0"/>
              <w:jc w:val="center"/>
              <w:rPr>
                <w:sz w:val="18"/>
                <w:szCs w:val="18"/>
              </w:rPr>
            </w:pPr>
            <w:r>
              <w:rPr>
                <w:rFonts w:hint="eastAsia"/>
                <w:sz w:val="18"/>
                <w:szCs w:val="18"/>
              </w:rPr>
              <w:t>生产</w:t>
            </w:r>
          </w:p>
        </w:tc>
        <w:tc>
          <w:tcPr>
            <w:tcW w:w="2331" w:type="dxa"/>
          </w:tcPr>
          <w:p>
            <w:pPr>
              <w:pStyle w:val="58"/>
              <w:spacing w:line="360" w:lineRule="auto"/>
              <w:ind w:firstLine="0" w:firstLineChars="0"/>
              <w:jc w:val="left"/>
              <w:rPr>
                <w:sz w:val="18"/>
                <w:szCs w:val="18"/>
              </w:rPr>
            </w:pPr>
          </w:p>
        </w:tc>
        <w:tc>
          <w:tcPr>
            <w:tcW w:w="2332" w:type="dxa"/>
          </w:tcPr>
          <w:p>
            <w:pPr>
              <w:pStyle w:val="58"/>
              <w:spacing w:line="360" w:lineRule="auto"/>
              <w:ind w:firstLine="0" w:firstLineChars="0"/>
              <w:jc w:val="left"/>
              <w:rPr>
                <w:sz w:val="18"/>
                <w:szCs w:val="18"/>
              </w:rPr>
            </w:pPr>
          </w:p>
        </w:tc>
        <w:tc>
          <w:tcPr>
            <w:tcW w:w="2349" w:type="dxa"/>
          </w:tcPr>
          <w:p>
            <w:pPr>
              <w:pStyle w:val="58"/>
              <w:spacing w:line="360" w:lineRule="auto"/>
              <w:ind w:firstLine="0" w:firstLineChars="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2" w:type="dxa"/>
            <w:gridSpan w:val="2"/>
            <w:vMerge w:val="continue"/>
          </w:tcPr>
          <w:p>
            <w:pPr>
              <w:pStyle w:val="58"/>
              <w:spacing w:line="360" w:lineRule="auto"/>
              <w:ind w:firstLine="0" w:firstLineChars="0"/>
              <w:jc w:val="left"/>
              <w:rPr>
                <w:sz w:val="18"/>
                <w:szCs w:val="18"/>
              </w:rPr>
            </w:pPr>
          </w:p>
        </w:tc>
        <w:tc>
          <w:tcPr>
            <w:tcW w:w="2331" w:type="dxa"/>
          </w:tcPr>
          <w:p>
            <w:pPr>
              <w:pStyle w:val="58"/>
              <w:spacing w:line="360" w:lineRule="auto"/>
              <w:ind w:firstLine="0" w:firstLineChars="0"/>
              <w:jc w:val="left"/>
              <w:rPr>
                <w:sz w:val="18"/>
                <w:szCs w:val="18"/>
              </w:rPr>
            </w:pPr>
          </w:p>
        </w:tc>
        <w:tc>
          <w:tcPr>
            <w:tcW w:w="2332" w:type="dxa"/>
          </w:tcPr>
          <w:p>
            <w:pPr>
              <w:pStyle w:val="58"/>
              <w:spacing w:line="360" w:lineRule="auto"/>
              <w:ind w:firstLine="0" w:firstLineChars="0"/>
              <w:jc w:val="left"/>
              <w:rPr>
                <w:sz w:val="18"/>
                <w:szCs w:val="18"/>
              </w:rPr>
            </w:pPr>
          </w:p>
        </w:tc>
        <w:tc>
          <w:tcPr>
            <w:tcW w:w="2349" w:type="dxa"/>
          </w:tcPr>
          <w:p>
            <w:pPr>
              <w:pStyle w:val="58"/>
              <w:spacing w:line="360" w:lineRule="auto"/>
              <w:ind w:firstLine="0" w:firstLineChars="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32" w:type="dxa"/>
            <w:gridSpan w:val="2"/>
            <w:vMerge w:val="continue"/>
          </w:tcPr>
          <w:p>
            <w:pPr>
              <w:pStyle w:val="58"/>
              <w:spacing w:line="360" w:lineRule="auto"/>
              <w:ind w:firstLine="0" w:firstLineChars="0"/>
              <w:jc w:val="left"/>
              <w:rPr>
                <w:sz w:val="18"/>
                <w:szCs w:val="18"/>
              </w:rPr>
            </w:pPr>
          </w:p>
        </w:tc>
        <w:tc>
          <w:tcPr>
            <w:tcW w:w="2331" w:type="dxa"/>
          </w:tcPr>
          <w:p>
            <w:pPr>
              <w:pStyle w:val="58"/>
              <w:spacing w:line="360" w:lineRule="auto"/>
              <w:ind w:firstLine="0" w:firstLineChars="0"/>
              <w:jc w:val="left"/>
              <w:rPr>
                <w:sz w:val="18"/>
                <w:szCs w:val="18"/>
              </w:rPr>
            </w:pPr>
          </w:p>
        </w:tc>
        <w:tc>
          <w:tcPr>
            <w:tcW w:w="2332" w:type="dxa"/>
          </w:tcPr>
          <w:p>
            <w:pPr>
              <w:pStyle w:val="58"/>
              <w:spacing w:line="360" w:lineRule="auto"/>
              <w:ind w:firstLine="0" w:firstLineChars="0"/>
              <w:jc w:val="left"/>
              <w:rPr>
                <w:sz w:val="18"/>
                <w:szCs w:val="18"/>
              </w:rPr>
            </w:pPr>
          </w:p>
        </w:tc>
        <w:tc>
          <w:tcPr>
            <w:tcW w:w="2349" w:type="dxa"/>
          </w:tcPr>
          <w:p>
            <w:pPr>
              <w:pStyle w:val="58"/>
              <w:spacing w:line="360" w:lineRule="auto"/>
              <w:ind w:firstLine="0" w:firstLineChars="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2" w:type="dxa"/>
            <w:gridSpan w:val="2"/>
            <w:vMerge w:val="continue"/>
          </w:tcPr>
          <w:p>
            <w:pPr>
              <w:pStyle w:val="58"/>
              <w:spacing w:line="360" w:lineRule="auto"/>
              <w:ind w:firstLine="0" w:firstLineChars="0"/>
              <w:jc w:val="left"/>
              <w:rPr>
                <w:sz w:val="18"/>
                <w:szCs w:val="18"/>
              </w:rPr>
            </w:pPr>
          </w:p>
        </w:tc>
        <w:tc>
          <w:tcPr>
            <w:tcW w:w="2331" w:type="dxa"/>
          </w:tcPr>
          <w:p>
            <w:pPr>
              <w:pStyle w:val="58"/>
              <w:spacing w:line="360" w:lineRule="auto"/>
              <w:ind w:firstLine="0" w:firstLineChars="0"/>
              <w:jc w:val="left"/>
              <w:rPr>
                <w:sz w:val="18"/>
                <w:szCs w:val="18"/>
              </w:rPr>
            </w:pPr>
          </w:p>
        </w:tc>
        <w:tc>
          <w:tcPr>
            <w:tcW w:w="2332" w:type="dxa"/>
          </w:tcPr>
          <w:p>
            <w:pPr>
              <w:pStyle w:val="58"/>
              <w:spacing w:line="360" w:lineRule="auto"/>
              <w:ind w:firstLine="0" w:firstLineChars="0"/>
              <w:jc w:val="left"/>
              <w:rPr>
                <w:sz w:val="18"/>
                <w:szCs w:val="18"/>
              </w:rPr>
            </w:pPr>
          </w:p>
        </w:tc>
        <w:tc>
          <w:tcPr>
            <w:tcW w:w="2349" w:type="dxa"/>
          </w:tcPr>
          <w:p>
            <w:pPr>
              <w:pStyle w:val="58"/>
              <w:spacing w:line="360" w:lineRule="auto"/>
              <w:ind w:firstLine="0" w:firstLineChars="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vMerge w:val="restart"/>
            <w:vAlign w:val="center"/>
          </w:tcPr>
          <w:p>
            <w:pPr>
              <w:pStyle w:val="58"/>
              <w:spacing w:line="360" w:lineRule="auto"/>
              <w:ind w:firstLine="270" w:firstLineChars="150"/>
              <w:jc w:val="left"/>
              <w:rPr>
                <w:sz w:val="18"/>
                <w:szCs w:val="18"/>
              </w:rPr>
            </w:pPr>
            <w:r>
              <w:rPr>
                <w:rFonts w:hint="eastAsia"/>
                <w:sz w:val="18"/>
                <w:szCs w:val="18"/>
              </w:rPr>
              <w:t>运输</w:t>
            </w:r>
          </w:p>
        </w:tc>
        <w:tc>
          <w:tcPr>
            <w:tcW w:w="1166" w:type="dxa"/>
          </w:tcPr>
          <w:p>
            <w:pPr>
              <w:pStyle w:val="58"/>
              <w:spacing w:line="360" w:lineRule="auto"/>
              <w:ind w:firstLine="0" w:firstLineChars="0"/>
              <w:jc w:val="center"/>
              <w:rPr>
                <w:sz w:val="18"/>
                <w:szCs w:val="18"/>
              </w:rPr>
            </w:pPr>
            <w:r>
              <w:rPr>
                <w:rFonts w:hint="eastAsia"/>
                <w:sz w:val="18"/>
                <w:szCs w:val="18"/>
              </w:rPr>
              <w:t>原材料</w:t>
            </w:r>
            <w:r>
              <w:rPr>
                <w:sz w:val="18"/>
                <w:szCs w:val="18"/>
              </w:rPr>
              <w:t>和能源获取</w:t>
            </w:r>
            <w:r>
              <w:rPr>
                <w:rFonts w:hint="eastAsia"/>
                <w:sz w:val="18"/>
                <w:szCs w:val="18"/>
              </w:rPr>
              <w:t>阶段运输</w:t>
            </w:r>
          </w:p>
        </w:tc>
        <w:tc>
          <w:tcPr>
            <w:tcW w:w="2331" w:type="dxa"/>
          </w:tcPr>
          <w:p>
            <w:pPr>
              <w:pStyle w:val="58"/>
              <w:spacing w:line="360" w:lineRule="auto"/>
              <w:ind w:firstLine="0" w:firstLineChars="0"/>
              <w:jc w:val="left"/>
              <w:rPr>
                <w:sz w:val="18"/>
                <w:szCs w:val="18"/>
              </w:rPr>
            </w:pPr>
          </w:p>
        </w:tc>
        <w:tc>
          <w:tcPr>
            <w:tcW w:w="2332" w:type="dxa"/>
          </w:tcPr>
          <w:p>
            <w:pPr>
              <w:pStyle w:val="58"/>
              <w:spacing w:line="360" w:lineRule="auto"/>
              <w:ind w:firstLine="0" w:firstLineChars="0"/>
              <w:jc w:val="left"/>
              <w:rPr>
                <w:sz w:val="18"/>
                <w:szCs w:val="18"/>
              </w:rPr>
            </w:pPr>
          </w:p>
        </w:tc>
        <w:tc>
          <w:tcPr>
            <w:tcW w:w="2349" w:type="dxa"/>
          </w:tcPr>
          <w:p>
            <w:pPr>
              <w:pStyle w:val="58"/>
              <w:spacing w:line="360" w:lineRule="auto"/>
              <w:ind w:firstLine="0" w:firstLineChars="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vMerge w:val="continue"/>
          </w:tcPr>
          <w:p>
            <w:pPr>
              <w:pStyle w:val="58"/>
              <w:spacing w:line="360" w:lineRule="auto"/>
              <w:ind w:firstLine="0" w:firstLineChars="0"/>
              <w:jc w:val="left"/>
              <w:rPr>
                <w:sz w:val="18"/>
                <w:szCs w:val="18"/>
              </w:rPr>
            </w:pPr>
          </w:p>
        </w:tc>
        <w:tc>
          <w:tcPr>
            <w:tcW w:w="1166" w:type="dxa"/>
          </w:tcPr>
          <w:p>
            <w:pPr>
              <w:pStyle w:val="58"/>
              <w:spacing w:line="360" w:lineRule="auto"/>
              <w:ind w:firstLine="0" w:firstLineChars="0"/>
              <w:jc w:val="center"/>
              <w:rPr>
                <w:sz w:val="18"/>
                <w:szCs w:val="18"/>
              </w:rPr>
            </w:pPr>
            <w:r>
              <w:rPr>
                <w:rFonts w:hint="eastAsia"/>
                <w:sz w:val="18"/>
                <w:szCs w:val="18"/>
              </w:rPr>
              <w:t>产品制造阶段厂内运输</w:t>
            </w:r>
          </w:p>
        </w:tc>
        <w:tc>
          <w:tcPr>
            <w:tcW w:w="2331" w:type="dxa"/>
          </w:tcPr>
          <w:p>
            <w:pPr>
              <w:pStyle w:val="58"/>
              <w:spacing w:line="360" w:lineRule="auto"/>
              <w:ind w:firstLine="0" w:firstLineChars="0"/>
              <w:jc w:val="left"/>
              <w:rPr>
                <w:sz w:val="18"/>
                <w:szCs w:val="18"/>
              </w:rPr>
            </w:pPr>
          </w:p>
        </w:tc>
        <w:tc>
          <w:tcPr>
            <w:tcW w:w="2332" w:type="dxa"/>
          </w:tcPr>
          <w:p>
            <w:pPr>
              <w:pStyle w:val="58"/>
              <w:spacing w:line="360" w:lineRule="auto"/>
              <w:ind w:firstLine="0" w:firstLineChars="0"/>
              <w:jc w:val="left"/>
              <w:rPr>
                <w:sz w:val="18"/>
                <w:szCs w:val="18"/>
              </w:rPr>
            </w:pPr>
          </w:p>
        </w:tc>
        <w:tc>
          <w:tcPr>
            <w:tcW w:w="2349" w:type="dxa"/>
          </w:tcPr>
          <w:p>
            <w:pPr>
              <w:pStyle w:val="58"/>
              <w:spacing w:line="360" w:lineRule="auto"/>
              <w:ind w:firstLine="0" w:firstLineChars="0"/>
              <w:jc w:val="left"/>
              <w:rPr>
                <w:sz w:val="18"/>
                <w:szCs w:val="18"/>
              </w:rPr>
            </w:pPr>
          </w:p>
        </w:tc>
      </w:tr>
    </w:tbl>
    <w:p>
      <w:pPr>
        <w:pStyle w:val="58"/>
        <w:spacing w:line="360" w:lineRule="auto"/>
        <w:ind w:firstLine="440"/>
      </w:pPr>
      <w:r>
        <w:rPr>
          <w:rFonts w:hint="eastAsia" w:ascii="黑体" w:hAnsi="黑体" w:eastAsia="黑体"/>
          <w:sz w:val="22"/>
          <w:szCs w:val="21"/>
        </w:rPr>
        <w:t>4、数据质量评价（可选项）</w:t>
      </w:r>
    </w:p>
    <w:p>
      <w:pPr>
        <w:pStyle w:val="176"/>
        <w:numPr>
          <w:ilvl w:val="0"/>
          <w:numId w:val="0"/>
        </w:numPr>
        <w:spacing w:line="360" w:lineRule="auto"/>
        <w:ind w:left="105" w:leftChars="50" w:firstLine="440" w:firstLineChars="200"/>
        <w:rPr>
          <w:sz w:val="22"/>
          <w:szCs w:val="21"/>
        </w:rPr>
      </w:pPr>
      <w:r>
        <w:rPr>
          <w:rFonts w:hint="eastAsia"/>
          <w:sz w:val="22"/>
          <w:szCs w:val="21"/>
        </w:rPr>
        <w:t>数据质量可从定性和定量两个方面对报告使用的初级数据和次级数据进行评价，具体评价内容包括数据来源、完整性、数据代表性（时间、地理、技术）和准确性。</w:t>
      </w:r>
    </w:p>
    <w:p>
      <w:pPr>
        <w:pStyle w:val="176"/>
        <w:numPr>
          <w:ilvl w:val="0"/>
          <w:numId w:val="0"/>
        </w:numPr>
        <w:spacing w:line="360" w:lineRule="auto"/>
        <w:ind w:left="425" w:hanging="424" w:hangingChars="193"/>
        <w:rPr>
          <w:rFonts w:ascii="黑体" w:hAnsi="黑体" w:eastAsia="黑体"/>
          <w:bCs/>
          <w:sz w:val="22"/>
          <w:szCs w:val="21"/>
        </w:rPr>
      </w:pPr>
      <w:r>
        <w:rPr>
          <w:rFonts w:hint="eastAsia" w:ascii="黑体" w:hAnsi="黑体" w:eastAsia="黑体"/>
          <w:bCs/>
          <w:sz w:val="22"/>
          <w:szCs w:val="21"/>
        </w:rPr>
        <w:t>五、影响评价</w:t>
      </w:r>
    </w:p>
    <w:p>
      <w:pPr>
        <w:pStyle w:val="176"/>
        <w:numPr>
          <w:ilvl w:val="0"/>
          <w:numId w:val="0"/>
        </w:numPr>
        <w:spacing w:line="360" w:lineRule="auto"/>
        <w:ind w:firstLine="110" w:firstLineChars="50"/>
        <w:rPr>
          <w:rFonts w:ascii="黑体" w:hAnsi="黑体" w:eastAsia="黑体"/>
          <w:sz w:val="22"/>
          <w:szCs w:val="21"/>
        </w:rPr>
      </w:pPr>
      <w:r>
        <w:rPr>
          <w:rFonts w:hint="eastAsia" w:ascii="黑体" w:hAnsi="黑体" w:eastAsia="黑体"/>
          <w:sz w:val="22"/>
          <w:szCs w:val="21"/>
        </w:rPr>
        <w:t>1、影响类型和特征化因子选择</w:t>
      </w:r>
    </w:p>
    <w:p>
      <w:pPr>
        <w:pStyle w:val="176"/>
        <w:numPr>
          <w:ilvl w:val="0"/>
          <w:numId w:val="0"/>
        </w:numPr>
        <w:spacing w:line="360" w:lineRule="auto"/>
        <w:ind w:left="909" w:leftChars="231" w:hanging="424" w:hangingChars="193"/>
        <w:rPr>
          <w:sz w:val="22"/>
          <w:szCs w:val="21"/>
          <w:u w:val="single"/>
        </w:rPr>
      </w:pPr>
      <w:r>
        <w:rPr>
          <w:rFonts w:hint="eastAsia"/>
          <w:sz w:val="22"/>
          <w:szCs w:val="21"/>
        </w:rPr>
        <w:t>一般选择IPCC给出的100年</w:t>
      </w:r>
      <w:r>
        <w:rPr>
          <w:rFonts w:hint="eastAsia"/>
          <w:i/>
          <w:sz w:val="22"/>
          <w:szCs w:val="21"/>
        </w:rPr>
        <w:t>GWP</w:t>
      </w:r>
      <w:r>
        <w:rPr>
          <w:rFonts w:hint="eastAsia"/>
          <w:sz w:val="22"/>
          <w:szCs w:val="21"/>
        </w:rPr>
        <w:t>。</w:t>
      </w:r>
    </w:p>
    <w:p>
      <w:pPr>
        <w:pStyle w:val="176"/>
        <w:numPr>
          <w:ilvl w:val="0"/>
          <w:numId w:val="0"/>
        </w:numPr>
        <w:spacing w:line="360" w:lineRule="auto"/>
        <w:ind w:left="419" w:leftChars="50" w:hanging="314" w:hangingChars="143"/>
        <w:rPr>
          <w:rFonts w:ascii="黑体" w:hAnsi="黑体" w:eastAsia="黑体"/>
          <w:sz w:val="22"/>
          <w:szCs w:val="21"/>
        </w:rPr>
      </w:pPr>
      <w:r>
        <w:rPr>
          <w:rFonts w:hint="eastAsia" w:ascii="黑体" w:hAnsi="黑体" w:eastAsia="黑体"/>
          <w:sz w:val="22"/>
          <w:szCs w:val="21"/>
        </w:rPr>
        <w:t>2、产品碳足迹结果计算</w:t>
      </w:r>
    </w:p>
    <w:p>
      <w:pPr>
        <w:pStyle w:val="176"/>
        <w:numPr>
          <w:ilvl w:val="0"/>
          <w:numId w:val="0"/>
        </w:numPr>
        <w:spacing w:line="360" w:lineRule="auto"/>
        <w:rPr>
          <w:rFonts w:ascii="黑体" w:hAnsi="黑体" w:eastAsia="黑体"/>
          <w:bCs/>
          <w:sz w:val="22"/>
          <w:szCs w:val="21"/>
        </w:rPr>
      </w:pPr>
      <w:r>
        <w:rPr>
          <w:rFonts w:hint="eastAsia" w:ascii="黑体" w:hAnsi="黑体" w:eastAsia="黑体"/>
          <w:bCs/>
          <w:sz w:val="22"/>
          <w:szCs w:val="21"/>
        </w:rPr>
        <w:t>六、结果解释</w:t>
      </w:r>
    </w:p>
    <w:p>
      <w:pPr>
        <w:pStyle w:val="176"/>
        <w:numPr>
          <w:ilvl w:val="0"/>
          <w:numId w:val="0"/>
        </w:numPr>
        <w:spacing w:line="360" w:lineRule="auto"/>
        <w:ind w:firstLine="110" w:firstLineChars="50"/>
        <w:rPr>
          <w:rFonts w:ascii="黑体" w:hAnsi="黑体" w:eastAsia="黑体"/>
          <w:sz w:val="22"/>
          <w:szCs w:val="21"/>
        </w:rPr>
      </w:pPr>
      <w:r>
        <w:rPr>
          <w:rFonts w:hint="eastAsia" w:ascii="黑体" w:hAnsi="黑体" w:eastAsia="黑体"/>
          <w:sz w:val="22"/>
          <w:szCs w:val="21"/>
        </w:rPr>
        <w:t>1、结果说明</w:t>
      </w:r>
    </w:p>
    <w:p>
      <w:pPr>
        <w:pStyle w:val="176"/>
        <w:numPr>
          <w:ilvl w:val="0"/>
          <w:numId w:val="0"/>
        </w:numPr>
        <w:spacing w:line="360" w:lineRule="auto"/>
        <w:ind w:firstLine="110" w:firstLineChars="50"/>
        <w:rPr>
          <w:sz w:val="22"/>
          <w:szCs w:val="21"/>
        </w:rPr>
      </w:pPr>
      <w:r>
        <w:rPr>
          <w:rFonts w:hint="eastAsia" w:ascii="黑体" w:hAnsi="黑体" w:eastAsia="黑体"/>
          <w:bCs/>
          <w:sz w:val="22"/>
          <w:szCs w:val="21"/>
        </w:rPr>
        <w:t xml:space="preserve">   </w:t>
      </w:r>
      <w:r>
        <w:rPr>
          <w:rFonts w:hint="eastAsia"/>
          <w:sz w:val="22"/>
          <w:szCs w:val="21"/>
          <w:u w:val="single"/>
        </w:rPr>
        <w:t xml:space="preserve">            </w:t>
      </w:r>
      <w:r>
        <w:rPr>
          <w:rFonts w:hint="eastAsia"/>
          <w:sz w:val="22"/>
          <w:szCs w:val="21"/>
        </w:rPr>
        <w:t>公司（填写产品生产者的全名）生产的</w:t>
      </w:r>
      <w:r>
        <w:rPr>
          <w:rFonts w:hint="eastAsia"/>
          <w:sz w:val="22"/>
          <w:szCs w:val="21"/>
          <w:u w:val="single"/>
        </w:rPr>
        <w:t xml:space="preserve">            </w:t>
      </w:r>
      <w:r>
        <w:rPr>
          <w:rFonts w:hint="eastAsia"/>
          <w:sz w:val="22"/>
          <w:szCs w:val="21"/>
        </w:rPr>
        <w:t>填写所评价的产品名称， 每声明单位的产品），从</w:t>
      </w:r>
      <w:r>
        <w:rPr>
          <w:rFonts w:hint="eastAsia"/>
          <w:sz w:val="22"/>
          <w:szCs w:val="21"/>
          <w:u w:val="single"/>
        </w:rPr>
        <w:t xml:space="preserve">       </w:t>
      </w:r>
      <w:r>
        <w:rPr>
          <w:rFonts w:hint="eastAsia"/>
          <w:sz w:val="22"/>
          <w:szCs w:val="21"/>
        </w:rPr>
        <w:t>（填写某生命周期阶段）到</w:t>
      </w:r>
      <w:r>
        <w:rPr>
          <w:rFonts w:hint="eastAsia"/>
          <w:sz w:val="22"/>
          <w:szCs w:val="21"/>
          <w:u w:val="single"/>
        </w:rPr>
        <w:t xml:space="preserve">               </w:t>
      </w:r>
      <w:r>
        <w:rPr>
          <w:rFonts w:hint="eastAsia"/>
          <w:sz w:val="22"/>
          <w:szCs w:val="21"/>
        </w:rPr>
        <w:t>（填写某生命周期阶段）生命周期碳足迹为</w:t>
      </w:r>
      <w:r>
        <w:rPr>
          <w:rFonts w:hint="eastAsia"/>
          <w:sz w:val="22"/>
          <w:szCs w:val="21"/>
          <w:u w:val="single"/>
        </w:rPr>
        <w:t xml:space="preserve">            </w:t>
      </w:r>
      <w:r>
        <w:rPr>
          <w:rFonts w:hint="eastAsia"/>
          <w:sz w:val="22"/>
          <w:szCs w:val="21"/>
        </w:rPr>
        <w:t>kgCO</w:t>
      </w:r>
      <w:r>
        <w:rPr>
          <w:rFonts w:hint="eastAsia"/>
          <w:sz w:val="22"/>
          <w:szCs w:val="21"/>
          <w:vertAlign w:val="subscript"/>
        </w:rPr>
        <w:t>2</w:t>
      </w:r>
      <w:r>
        <w:rPr>
          <w:rFonts w:hint="eastAsia"/>
          <w:sz w:val="22"/>
          <w:szCs w:val="21"/>
        </w:rPr>
        <w:t>e。各生命周期阶段的温室气体排放情况如表</w:t>
      </w:r>
      <w:r>
        <w:rPr>
          <w:sz w:val="22"/>
          <w:szCs w:val="21"/>
        </w:rPr>
        <w:t>A</w:t>
      </w:r>
      <w:r>
        <w:rPr>
          <w:rFonts w:hint="eastAsia"/>
          <w:sz w:val="22"/>
          <w:szCs w:val="21"/>
        </w:rPr>
        <w:t>.2和</w:t>
      </w:r>
      <w:r>
        <w:rPr>
          <w:sz w:val="22"/>
          <w:szCs w:val="21"/>
        </w:rPr>
        <w:t>图A.2</w:t>
      </w:r>
      <w:r>
        <w:rPr>
          <w:rFonts w:hint="eastAsia"/>
          <w:sz w:val="22"/>
          <w:szCs w:val="21"/>
        </w:rPr>
        <w:t>所示</w:t>
      </w:r>
      <w:r>
        <w:rPr>
          <w:sz w:val="22"/>
          <w:szCs w:val="21"/>
        </w:rPr>
        <w:t>。</w:t>
      </w:r>
    </w:p>
    <w:p>
      <w:pPr>
        <w:pStyle w:val="176"/>
        <w:numPr>
          <w:ilvl w:val="0"/>
          <w:numId w:val="0"/>
        </w:numPr>
        <w:spacing w:line="360" w:lineRule="auto"/>
        <w:ind w:firstLine="110" w:firstLineChars="50"/>
        <w:rPr>
          <w:sz w:val="22"/>
          <w:szCs w:val="21"/>
        </w:rPr>
      </w:pPr>
    </w:p>
    <w:p>
      <w:pPr>
        <w:pStyle w:val="79"/>
        <w:spacing w:before="156" w:after="156" w:line="360" w:lineRule="auto"/>
        <w:ind w:firstLine="0"/>
      </w:pPr>
      <w:r>
        <w:rPr>
          <w:rFonts w:hint="eastAsia"/>
        </w:rPr>
        <w:t xml:space="preserve"> </w:t>
      </w:r>
      <w:r>
        <w:rPr>
          <w:rFonts w:hint="eastAsia"/>
          <w:sz w:val="22"/>
          <w:szCs w:val="21"/>
          <w:u w:val="single"/>
        </w:rPr>
        <w:t xml:space="preserve">       </w:t>
      </w:r>
      <w:r>
        <w:rPr>
          <w:rFonts w:hint="eastAsia"/>
        </w:rPr>
        <w:t>生命周期各阶段碳排放情况</w:t>
      </w:r>
    </w:p>
    <w:tbl>
      <w:tblPr>
        <w:tblStyle w:val="28"/>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2"/>
        <w:gridCol w:w="3617"/>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2" w:type="dxa"/>
            <w:vAlign w:val="center"/>
          </w:tcPr>
          <w:p>
            <w:pPr>
              <w:pStyle w:val="58"/>
              <w:spacing w:line="360" w:lineRule="auto"/>
              <w:ind w:firstLine="450" w:firstLineChars="250"/>
              <w:rPr>
                <w:sz w:val="18"/>
                <w:szCs w:val="18"/>
              </w:rPr>
            </w:pPr>
            <w:r>
              <w:rPr>
                <w:rFonts w:hint="eastAsia"/>
                <w:sz w:val="18"/>
                <w:szCs w:val="18"/>
              </w:rPr>
              <w:t>生命周期阶段</w:t>
            </w:r>
          </w:p>
        </w:tc>
        <w:tc>
          <w:tcPr>
            <w:tcW w:w="3617" w:type="dxa"/>
          </w:tcPr>
          <w:p>
            <w:pPr>
              <w:pStyle w:val="58"/>
              <w:spacing w:line="360" w:lineRule="auto"/>
              <w:ind w:firstLine="360"/>
              <w:jc w:val="center"/>
              <w:rPr>
                <w:sz w:val="18"/>
                <w:szCs w:val="18"/>
              </w:rPr>
            </w:pPr>
            <w:r>
              <w:rPr>
                <w:rFonts w:hint="eastAsia"/>
                <w:sz w:val="18"/>
                <w:szCs w:val="18"/>
              </w:rPr>
              <w:t>kgCO2e/声明单位</w:t>
            </w:r>
          </w:p>
        </w:tc>
        <w:tc>
          <w:tcPr>
            <w:tcW w:w="3402" w:type="dxa"/>
          </w:tcPr>
          <w:p>
            <w:pPr>
              <w:pStyle w:val="58"/>
              <w:spacing w:line="360" w:lineRule="auto"/>
              <w:ind w:firstLine="1530" w:firstLineChars="850"/>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2" w:type="dxa"/>
            <w:vAlign w:val="center"/>
          </w:tcPr>
          <w:p>
            <w:pPr>
              <w:pStyle w:val="58"/>
              <w:spacing w:line="360" w:lineRule="auto"/>
              <w:ind w:firstLine="0" w:firstLineChars="0"/>
              <w:jc w:val="center"/>
              <w:rPr>
                <w:sz w:val="18"/>
                <w:szCs w:val="18"/>
              </w:rPr>
            </w:pPr>
            <w:r>
              <w:rPr>
                <w:rFonts w:hint="eastAsia"/>
                <w:sz w:val="18"/>
                <w:szCs w:val="18"/>
              </w:rPr>
              <w:t>原材料和</w:t>
            </w:r>
            <w:r>
              <w:rPr>
                <w:sz w:val="18"/>
                <w:szCs w:val="18"/>
              </w:rPr>
              <w:t>能源</w:t>
            </w:r>
            <w:r>
              <w:rPr>
                <w:rFonts w:hint="eastAsia"/>
                <w:sz w:val="18"/>
                <w:szCs w:val="18"/>
              </w:rPr>
              <w:t>获取</w:t>
            </w:r>
          </w:p>
        </w:tc>
        <w:tc>
          <w:tcPr>
            <w:tcW w:w="3617" w:type="dxa"/>
          </w:tcPr>
          <w:p>
            <w:pPr>
              <w:pStyle w:val="58"/>
              <w:spacing w:line="360" w:lineRule="auto"/>
              <w:ind w:firstLine="0" w:firstLineChars="0"/>
              <w:jc w:val="center"/>
              <w:rPr>
                <w:sz w:val="18"/>
                <w:szCs w:val="18"/>
              </w:rPr>
            </w:pPr>
          </w:p>
        </w:tc>
        <w:tc>
          <w:tcPr>
            <w:tcW w:w="3402" w:type="dxa"/>
          </w:tcPr>
          <w:p>
            <w:pPr>
              <w:pStyle w:val="58"/>
              <w:spacing w:line="36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2" w:type="dxa"/>
            <w:vAlign w:val="center"/>
          </w:tcPr>
          <w:p>
            <w:pPr>
              <w:pStyle w:val="58"/>
              <w:spacing w:line="360" w:lineRule="auto"/>
              <w:ind w:firstLine="810" w:firstLineChars="450"/>
              <w:rPr>
                <w:sz w:val="18"/>
                <w:szCs w:val="18"/>
              </w:rPr>
            </w:pPr>
            <w:r>
              <w:rPr>
                <w:rFonts w:hint="eastAsia"/>
                <w:sz w:val="18"/>
                <w:szCs w:val="18"/>
              </w:rPr>
              <w:t>生产</w:t>
            </w:r>
          </w:p>
        </w:tc>
        <w:tc>
          <w:tcPr>
            <w:tcW w:w="3617" w:type="dxa"/>
          </w:tcPr>
          <w:p>
            <w:pPr>
              <w:pStyle w:val="58"/>
              <w:spacing w:line="360" w:lineRule="auto"/>
              <w:ind w:firstLine="0" w:firstLineChars="0"/>
              <w:jc w:val="center"/>
              <w:rPr>
                <w:sz w:val="18"/>
                <w:szCs w:val="18"/>
              </w:rPr>
            </w:pPr>
          </w:p>
        </w:tc>
        <w:tc>
          <w:tcPr>
            <w:tcW w:w="3402" w:type="dxa"/>
          </w:tcPr>
          <w:p>
            <w:pPr>
              <w:pStyle w:val="58"/>
              <w:spacing w:line="36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2" w:type="dxa"/>
            <w:vAlign w:val="center"/>
          </w:tcPr>
          <w:p>
            <w:pPr>
              <w:pStyle w:val="58"/>
              <w:spacing w:line="360" w:lineRule="auto"/>
              <w:ind w:left="360" w:hanging="360" w:hangingChars="200"/>
              <w:rPr>
                <w:sz w:val="18"/>
                <w:szCs w:val="18"/>
              </w:rPr>
            </w:pPr>
            <w:r>
              <w:rPr>
                <w:rFonts w:hint="eastAsia"/>
                <w:sz w:val="18"/>
                <w:szCs w:val="18"/>
              </w:rPr>
              <w:t>运输（原材料和能源获取阶段以及厂内运输）</w:t>
            </w:r>
          </w:p>
        </w:tc>
        <w:tc>
          <w:tcPr>
            <w:tcW w:w="3617" w:type="dxa"/>
          </w:tcPr>
          <w:p>
            <w:pPr>
              <w:pStyle w:val="58"/>
              <w:spacing w:line="360" w:lineRule="auto"/>
              <w:ind w:firstLine="0" w:firstLineChars="0"/>
              <w:jc w:val="center"/>
              <w:rPr>
                <w:sz w:val="18"/>
                <w:szCs w:val="18"/>
              </w:rPr>
            </w:pPr>
          </w:p>
        </w:tc>
        <w:tc>
          <w:tcPr>
            <w:tcW w:w="3402" w:type="dxa"/>
          </w:tcPr>
          <w:p>
            <w:pPr>
              <w:pStyle w:val="58"/>
              <w:spacing w:line="36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2" w:type="dxa"/>
            <w:vAlign w:val="center"/>
          </w:tcPr>
          <w:p>
            <w:pPr>
              <w:pStyle w:val="58"/>
              <w:spacing w:line="360" w:lineRule="auto"/>
              <w:ind w:firstLine="810" w:firstLineChars="450"/>
              <w:rPr>
                <w:sz w:val="18"/>
                <w:szCs w:val="18"/>
              </w:rPr>
            </w:pPr>
            <w:r>
              <w:rPr>
                <w:rFonts w:hint="eastAsia"/>
                <w:sz w:val="18"/>
                <w:szCs w:val="18"/>
              </w:rPr>
              <w:t>总计</w:t>
            </w:r>
          </w:p>
        </w:tc>
        <w:tc>
          <w:tcPr>
            <w:tcW w:w="3617" w:type="dxa"/>
          </w:tcPr>
          <w:p>
            <w:pPr>
              <w:pStyle w:val="58"/>
              <w:spacing w:line="360" w:lineRule="auto"/>
              <w:ind w:firstLine="0" w:firstLineChars="0"/>
              <w:jc w:val="center"/>
              <w:rPr>
                <w:sz w:val="18"/>
                <w:szCs w:val="18"/>
              </w:rPr>
            </w:pPr>
          </w:p>
        </w:tc>
        <w:tc>
          <w:tcPr>
            <w:tcW w:w="3402" w:type="dxa"/>
          </w:tcPr>
          <w:p>
            <w:pPr>
              <w:pStyle w:val="58"/>
              <w:spacing w:line="360" w:lineRule="auto"/>
              <w:ind w:firstLine="0" w:firstLineChars="0"/>
              <w:jc w:val="center"/>
              <w:rPr>
                <w:sz w:val="18"/>
                <w:szCs w:val="18"/>
              </w:rPr>
            </w:pPr>
          </w:p>
        </w:tc>
      </w:tr>
    </w:tbl>
    <w:p>
      <w:pPr>
        <w:pStyle w:val="181"/>
        <w:spacing w:line="360" w:lineRule="auto"/>
      </w:pPr>
      <w:r>
        <w:rPr>
          <w:rFonts w:hint="eastAsia"/>
        </w:rPr>
        <w:t>具体产品</w:t>
      </w:r>
      <w:r>
        <w:t>生命周期阶段</w:t>
      </w:r>
      <w:r>
        <w:rPr>
          <w:rFonts w:hint="eastAsia"/>
        </w:rPr>
        <w:t>碳排放分布图一般</w:t>
      </w:r>
      <w:r>
        <w:t>以饼状</w:t>
      </w:r>
      <w:r>
        <w:rPr>
          <w:rFonts w:hint="eastAsia"/>
        </w:rPr>
        <w:t>图</w:t>
      </w:r>
      <w:r>
        <w:t>或柱形图</w:t>
      </w:r>
      <w:r>
        <w:rPr>
          <w:rFonts w:hint="eastAsia"/>
        </w:rPr>
        <w:t>表示</w:t>
      </w:r>
      <w:r>
        <w:t>各生命周期</w:t>
      </w:r>
      <w:r>
        <w:rPr>
          <w:rFonts w:hint="eastAsia"/>
        </w:rPr>
        <w:t>阶段</w:t>
      </w:r>
      <w:r>
        <w:t>的</w:t>
      </w:r>
      <w:r>
        <w:rPr>
          <w:rFonts w:hint="eastAsia"/>
        </w:rPr>
        <w:t>碳排放</w:t>
      </w:r>
      <w:r>
        <w:t>情况。</w:t>
      </w:r>
    </w:p>
    <w:p>
      <w:pPr>
        <w:pStyle w:val="85"/>
        <w:spacing w:before="156" w:after="156" w:line="360" w:lineRule="auto"/>
        <w:ind w:firstLine="0"/>
      </w:pPr>
      <w:r>
        <w:rPr>
          <w:rFonts w:hint="eastAsia"/>
        </w:rPr>
        <w:t xml:space="preserve"> X</w:t>
      </w:r>
      <w:r>
        <w:t>X</w:t>
      </w:r>
      <w:r>
        <w:rPr>
          <w:rFonts w:hint="eastAsia"/>
        </w:rPr>
        <w:t>各生命周期阶段碳排放分布图</w:t>
      </w:r>
    </w:p>
    <w:p>
      <w:pPr>
        <w:pStyle w:val="58"/>
        <w:spacing w:line="360" w:lineRule="auto"/>
        <w:ind w:firstLine="420"/>
      </w:pPr>
    </w:p>
    <w:p>
      <w:pPr>
        <w:pStyle w:val="58"/>
        <w:spacing w:line="360" w:lineRule="auto"/>
        <w:ind w:firstLine="209" w:firstLineChars="95"/>
        <w:rPr>
          <w:rFonts w:ascii="黑体" w:hAnsi="黑体" w:eastAsia="黑体"/>
          <w:sz w:val="22"/>
          <w:szCs w:val="21"/>
        </w:rPr>
      </w:pPr>
      <w:r>
        <w:rPr>
          <w:rFonts w:hint="eastAsia" w:ascii="黑体" w:hAnsi="黑体" w:eastAsia="黑体"/>
          <w:sz w:val="22"/>
          <w:szCs w:val="21"/>
        </w:rPr>
        <w:t>2、</w:t>
      </w:r>
      <w:r>
        <w:rPr>
          <w:rFonts w:ascii="黑体" w:hAnsi="黑体" w:eastAsia="黑体"/>
          <w:sz w:val="22"/>
          <w:szCs w:val="21"/>
        </w:rPr>
        <w:t>假设和局限性说明（</w:t>
      </w:r>
      <w:r>
        <w:rPr>
          <w:rFonts w:hint="eastAsia" w:ascii="黑体" w:hAnsi="黑体" w:eastAsia="黑体"/>
          <w:sz w:val="22"/>
          <w:szCs w:val="21"/>
        </w:rPr>
        <w:t>可</w:t>
      </w:r>
      <w:r>
        <w:rPr>
          <w:rFonts w:ascii="黑体" w:hAnsi="黑体" w:eastAsia="黑体"/>
          <w:sz w:val="22"/>
          <w:szCs w:val="21"/>
        </w:rPr>
        <w:t>选项）</w:t>
      </w:r>
    </w:p>
    <w:p>
      <w:pPr>
        <w:pStyle w:val="58"/>
        <w:spacing w:line="360" w:lineRule="auto"/>
        <w:ind w:firstLine="209" w:firstLineChars="95"/>
        <w:rPr>
          <w:sz w:val="22"/>
          <w:szCs w:val="21"/>
        </w:rPr>
      </w:pPr>
      <w:r>
        <w:rPr>
          <w:rFonts w:hint="eastAsia" w:ascii="黑体" w:hAnsi="黑体" w:eastAsia="黑体"/>
          <w:sz w:val="22"/>
          <w:szCs w:val="21"/>
        </w:rPr>
        <w:t xml:space="preserve"> </w:t>
      </w:r>
      <w:r>
        <w:rPr>
          <w:rFonts w:ascii="黑体" w:hAnsi="黑体" w:eastAsia="黑体"/>
          <w:sz w:val="22"/>
          <w:szCs w:val="21"/>
        </w:rPr>
        <w:t xml:space="preserve">    </w:t>
      </w:r>
      <w:r>
        <w:rPr>
          <w:rFonts w:hint="eastAsia"/>
          <w:sz w:val="22"/>
          <w:szCs w:val="21"/>
        </w:rPr>
        <w:t>结合</w:t>
      </w:r>
      <w:r>
        <w:rPr>
          <w:sz w:val="22"/>
          <w:szCs w:val="21"/>
        </w:rPr>
        <w:t>量化情况</w:t>
      </w:r>
      <w:r>
        <w:rPr>
          <w:rFonts w:hint="eastAsia"/>
          <w:sz w:val="22"/>
          <w:szCs w:val="21"/>
        </w:rPr>
        <w:t>，</w:t>
      </w:r>
      <w:r>
        <w:rPr>
          <w:sz w:val="22"/>
          <w:szCs w:val="21"/>
        </w:rPr>
        <w:t>对范围</w:t>
      </w:r>
      <w:r>
        <w:rPr>
          <w:rFonts w:hint="eastAsia"/>
          <w:sz w:val="22"/>
          <w:szCs w:val="21"/>
        </w:rPr>
        <w:t>、</w:t>
      </w:r>
      <w:r>
        <w:rPr>
          <w:sz w:val="22"/>
          <w:szCs w:val="21"/>
        </w:rPr>
        <w:t>数据选择</w:t>
      </w:r>
      <w:r>
        <w:rPr>
          <w:rFonts w:hint="eastAsia"/>
          <w:sz w:val="22"/>
          <w:szCs w:val="21"/>
        </w:rPr>
        <w:t>、</w:t>
      </w:r>
      <w:r>
        <w:rPr>
          <w:sz w:val="22"/>
          <w:szCs w:val="21"/>
        </w:rPr>
        <w:t>情景设定</w:t>
      </w:r>
      <w:r>
        <w:rPr>
          <w:rFonts w:hint="eastAsia"/>
          <w:sz w:val="22"/>
          <w:szCs w:val="21"/>
        </w:rPr>
        <w:t>等相关的</w:t>
      </w:r>
      <w:r>
        <w:rPr>
          <w:sz w:val="22"/>
          <w:szCs w:val="21"/>
        </w:rPr>
        <w:t>假设和</w:t>
      </w:r>
      <w:r>
        <w:rPr>
          <w:rFonts w:hint="eastAsia"/>
          <w:sz w:val="22"/>
          <w:szCs w:val="21"/>
        </w:rPr>
        <w:t>局限</w:t>
      </w:r>
      <w:r>
        <w:rPr>
          <w:sz w:val="22"/>
          <w:szCs w:val="21"/>
        </w:rPr>
        <w:t>进行说明。</w:t>
      </w:r>
    </w:p>
    <w:p>
      <w:pPr>
        <w:pStyle w:val="58"/>
        <w:spacing w:line="360" w:lineRule="auto"/>
        <w:ind w:firstLine="209" w:firstLineChars="95"/>
        <w:rPr>
          <w:rFonts w:ascii="黑体" w:hAnsi="黑体" w:eastAsia="黑体"/>
          <w:sz w:val="22"/>
          <w:szCs w:val="21"/>
        </w:rPr>
      </w:pPr>
      <w:r>
        <w:rPr>
          <w:rFonts w:ascii="黑体" w:hAnsi="黑体" w:eastAsia="黑体"/>
          <w:sz w:val="22"/>
          <w:szCs w:val="21"/>
        </w:rPr>
        <w:t>3</w:t>
      </w:r>
      <w:r>
        <w:rPr>
          <w:rFonts w:hint="eastAsia" w:ascii="黑体" w:hAnsi="黑体" w:eastAsia="黑体"/>
          <w:sz w:val="22"/>
          <w:szCs w:val="21"/>
        </w:rPr>
        <w:t>、改进建议</w:t>
      </w:r>
    </w:p>
    <w:p>
      <w:pPr>
        <w:pStyle w:val="58"/>
        <w:spacing w:line="360" w:lineRule="auto"/>
        <w:ind w:firstLine="199" w:firstLineChars="95"/>
        <w:sectPr>
          <w:headerReference r:id="rId12" w:type="default"/>
          <w:footerReference r:id="rId14" w:type="default"/>
          <w:headerReference r:id="rId13" w:type="even"/>
          <w:footerReference r:id="rId15" w:type="even"/>
          <w:pgSz w:w="11906" w:h="16838"/>
          <w:pgMar w:top="567" w:right="1134" w:bottom="1134" w:left="1134" w:header="1418" w:footer="1134" w:gutter="284"/>
          <w:cols w:space="425" w:num="1"/>
          <w:formProt w:val="0"/>
          <w:docGrid w:type="lines" w:linePitch="312" w:charSpace="0"/>
        </w:sectPr>
      </w:pPr>
      <w:r>
        <w:rPr>
          <w:rFonts w:hint="eastAsia"/>
        </w:rPr>
        <w:t xml:space="preserve">    </w:t>
      </w:r>
      <w:r>
        <w:t xml:space="preserve">   </w:t>
      </w:r>
    </w:p>
    <w:p>
      <w:pPr>
        <w:pStyle w:val="200"/>
        <w:rPr>
          <w:vanish w:val="0"/>
        </w:rPr>
      </w:pPr>
    </w:p>
    <w:p>
      <w:pPr>
        <w:pStyle w:val="201"/>
        <w:rPr>
          <w:vanish w:val="0"/>
        </w:rPr>
      </w:pPr>
    </w:p>
    <w:p>
      <w:pPr>
        <w:pStyle w:val="78"/>
        <w:spacing w:before="78" w:after="156"/>
      </w:pPr>
      <w:r>
        <w:br w:type="textWrapping"/>
      </w:r>
      <w:bookmarkStart w:id="167" w:name="_Toc201828353"/>
      <w:r>
        <w:rPr>
          <w:rFonts w:hint="eastAsia"/>
        </w:rPr>
        <w:t>（资料性）</w:t>
      </w:r>
      <w:r>
        <w:br w:type="textWrapping"/>
      </w:r>
      <w:r>
        <w:rPr>
          <w:rFonts w:hint="eastAsia"/>
        </w:rPr>
        <w:t>煤制乙二醇生产工艺流程示例图</w:t>
      </w:r>
      <w:bookmarkEnd w:id="167"/>
    </w:p>
    <w:p>
      <w:pPr>
        <w:pStyle w:val="58"/>
        <w:ind w:firstLine="420"/>
      </w:pPr>
      <w:r>
        <w:rPr>
          <w:rFonts w:hint="eastAsia"/>
        </w:rPr>
        <w:t>图B.1为</w:t>
      </w:r>
      <w:r>
        <w:t>煤制乙二醇产品生产</w:t>
      </w:r>
      <w:r>
        <w:rPr>
          <w:rFonts w:hint="eastAsia"/>
        </w:rPr>
        <w:t>工艺</w:t>
      </w:r>
      <w:r>
        <w:t>流程示例图。</w:t>
      </w:r>
    </w:p>
    <w:p>
      <w:pPr>
        <w:pStyle w:val="58"/>
        <w:ind w:firstLine="420"/>
      </w:pPr>
      <w:r>
        <w:drawing>
          <wp:inline distT="0" distB="0" distL="0" distR="0">
            <wp:extent cx="6205220" cy="3696970"/>
            <wp:effectExtent l="0" t="0" r="5080" b="0"/>
            <wp:docPr id="19" name="图片 1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true" noChangeArrowheads="true"/>
                    </pic:cNvPicPr>
                  </pic:nvPicPr>
                  <pic:blipFill>
                    <a:blip r:embed="rId20">
                      <a:extLst>
                        <a:ext uri="{28A0092B-C50C-407E-A947-70E740481C1C}">
                          <a14:useLocalDpi xmlns:a14="http://schemas.microsoft.com/office/drawing/2010/main" val="false"/>
                        </a:ext>
                      </a:extLst>
                    </a:blip>
                    <a:srcRect/>
                    <a:stretch>
                      <a:fillRect/>
                    </a:stretch>
                  </pic:blipFill>
                  <pic:spPr>
                    <a:xfrm>
                      <a:off x="0" y="0"/>
                      <a:ext cx="6227441" cy="3710597"/>
                    </a:xfrm>
                    <a:prstGeom prst="rect">
                      <a:avLst/>
                    </a:prstGeom>
                    <a:noFill/>
                  </pic:spPr>
                </pic:pic>
              </a:graphicData>
            </a:graphic>
          </wp:inline>
        </w:drawing>
      </w:r>
    </w:p>
    <w:p>
      <w:pPr>
        <w:pStyle w:val="85"/>
        <w:spacing w:before="156" w:after="156"/>
      </w:pPr>
      <w:r>
        <w:rPr>
          <w:rFonts w:hint="eastAsia"/>
        </w:rPr>
        <w:t>煤制乙二醇</w:t>
      </w:r>
      <w:r>
        <w:t>产品生产工艺流程</w:t>
      </w:r>
      <w:r>
        <w:rPr>
          <w:rFonts w:hint="eastAsia"/>
        </w:rPr>
        <w:t>示例</w:t>
      </w:r>
      <w:r>
        <w:t>图</w:t>
      </w:r>
    </w:p>
    <w:p>
      <w:pPr>
        <w:pStyle w:val="58"/>
        <w:ind w:firstLine="420"/>
      </w:pPr>
    </w:p>
    <w:p>
      <w:pPr>
        <w:pStyle w:val="58"/>
        <w:ind w:firstLine="420"/>
      </w:pPr>
    </w:p>
    <w:p>
      <w:pPr>
        <w:pStyle w:val="58"/>
        <w:ind w:firstLine="420"/>
      </w:pPr>
    </w:p>
    <w:p>
      <w:pPr>
        <w:pStyle w:val="58"/>
        <w:spacing w:line="360" w:lineRule="auto"/>
        <w:ind w:firstLine="199" w:firstLineChars="95"/>
        <w:sectPr>
          <w:pgSz w:w="11906" w:h="16838"/>
          <w:pgMar w:top="567" w:right="1134" w:bottom="1134" w:left="1134" w:header="1418" w:footer="1134" w:gutter="284"/>
          <w:cols w:space="425" w:num="1"/>
          <w:formProt w:val="0"/>
          <w:docGrid w:type="lines" w:linePitch="312" w:charSpace="0"/>
        </w:sectPr>
      </w:pPr>
    </w:p>
    <w:p>
      <w:pPr>
        <w:pStyle w:val="200"/>
        <w:rPr>
          <w:vanish w:val="0"/>
        </w:rPr>
      </w:pPr>
    </w:p>
    <w:p>
      <w:pPr>
        <w:pStyle w:val="201"/>
        <w:rPr>
          <w:vanish w:val="0"/>
        </w:rPr>
      </w:pPr>
    </w:p>
    <w:p>
      <w:pPr>
        <w:pStyle w:val="78"/>
        <w:spacing w:before="78" w:after="156"/>
      </w:pPr>
      <w:r>
        <w:br w:type="textWrapping"/>
      </w:r>
      <w:bookmarkStart w:id="168" w:name="_Toc201828354"/>
      <w:r>
        <w:rPr>
          <w:rFonts w:hint="eastAsia"/>
        </w:rPr>
        <w:t>（资料性）</w:t>
      </w:r>
      <w:r>
        <w:br w:type="textWrapping"/>
      </w:r>
      <w:r>
        <w:rPr>
          <w:rFonts w:hint="eastAsia"/>
        </w:rPr>
        <w:t>煤制乙二醇产品碳足迹初级数据收集清单模版（示例）</w:t>
      </w:r>
      <w:bookmarkEnd w:id="168"/>
    </w:p>
    <w:p>
      <w:pPr>
        <w:pStyle w:val="58"/>
        <w:ind w:firstLine="420"/>
      </w:pPr>
      <w:r>
        <w:rPr>
          <w:rFonts w:hint="eastAsia"/>
        </w:rPr>
        <w:t>表</w:t>
      </w:r>
      <w:r>
        <w:t>C.1-</w:t>
      </w:r>
      <w:r>
        <w:rPr>
          <w:rFonts w:hint="eastAsia"/>
        </w:rPr>
        <w:t>表</w:t>
      </w:r>
      <w:r>
        <w:t>C.5</w:t>
      </w:r>
      <w:r>
        <w:rPr>
          <w:rFonts w:hint="eastAsia"/>
        </w:rPr>
        <w:t>为</w:t>
      </w:r>
      <w:r>
        <w:t>煤制乙二醇产品碳足迹</w:t>
      </w:r>
      <w:r>
        <w:rPr>
          <w:rFonts w:hint="eastAsia"/>
        </w:rPr>
        <w:t>初级</w:t>
      </w:r>
      <w:r>
        <w:t>数据收集清单</w:t>
      </w:r>
      <w:r>
        <w:rPr>
          <w:rFonts w:hint="eastAsia"/>
        </w:rPr>
        <w:t>模版。</w:t>
      </w:r>
    </w:p>
    <w:p>
      <w:pPr>
        <w:pStyle w:val="79"/>
        <w:spacing w:before="156" w:after="156"/>
      </w:pPr>
      <w:r>
        <w:rPr>
          <w:rFonts w:hint="eastAsia"/>
        </w:rPr>
        <w:t>基本信息</w:t>
      </w:r>
      <w:r>
        <w:t>表格</w:t>
      </w:r>
      <w:r>
        <w:rPr>
          <w:rFonts w:hint="eastAsia"/>
        </w:rPr>
        <w:t>示例</w:t>
      </w:r>
    </w:p>
    <w:tbl>
      <w:tblPr>
        <w:tblStyle w:val="233"/>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1408"/>
        <w:gridCol w:w="2080"/>
        <w:gridCol w:w="984"/>
        <w:gridCol w:w="509"/>
        <w:gridCol w:w="1190"/>
        <w:gridCol w:w="36"/>
        <w:gridCol w:w="1154"/>
        <w:gridCol w:w="11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28" w:type="pct"/>
            <w:vMerge w:val="restart"/>
            <w:vAlign w:val="center"/>
          </w:tcPr>
          <w:p>
            <w:pPr>
              <w:adjustRightInd/>
              <w:spacing w:line="276" w:lineRule="auto"/>
              <w:jc w:val="center"/>
              <w:rPr>
                <w:rFonts w:ascii="宋体" w:hAnsi="Times New Roman"/>
                <w:kern w:val="21"/>
                <w:sz w:val="18"/>
                <w:szCs w:val="18"/>
              </w:rPr>
            </w:pPr>
            <w:r>
              <w:rPr>
                <w:rFonts w:hint="eastAsia" w:ascii="宋体" w:hAnsi="Times New Roman"/>
                <w:kern w:val="21"/>
                <w:sz w:val="18"/>
                <w:szCs w:val="18"/>
              </w:rPr>
              <w:t>企业信息</w:t>
            </w:r>
          </w:p>
        </w:tc>
        <w:tc>
          <w:tcPr>
            <w:tcW w:w="736" w:type="pct"/>
            <w:vAlign w:val="center"/>
          </w:tcPr>
          <w:p>
            <w:pPr>
              <w:adjustRightInd/>
              <w:spacing w:line="276" w:lineRule="auto"/>
              <w:ind w:firstLine="180" w:firstLineChars="100"/>
              <w:rPr>
                <w:rFonts w:ascii="宋体" w:hAnsi="Times New Roman"/>
                <w:kern w:val="21"/>
                <w:sz w:val="18"/>
                <w:szCs w:val="18"/>
              </w:rPr>
            </w:pPr>
            <w:r>
              <w:rPr>
                <w:rFonts w:hint="eastAsia" w:ascii="宋体" w:hAnsi="Times New Roman"/>
                <w:kern w:val="21"/>
                <w:sz w:val="18"/>
                <w:szCs w:val="18"/>
              </w:rPr>
              <w:t>企业名称</w:t>
            </w:r>
          </w:p>
        </w:tc>
        <w:tc>
          <w:tcPr>
            <w:tcW w:w="3736" w:type="pct"/>
            <w:gridSpan w:val="7"/>
            <w:vAlign w:val="center"/>
          </w:tcPr>
          <w:p>
            <w:pPr>
              <w:adjustRightInd/>
              <w:spacing w:line="276" w:lineRule="auto"/>
              <w:ind w:firstLine="360"/>
              <w:jc w:val="center"/>
              <w:rPr>
                <w:rFonts w:ascii="宋体" w:hAnsi="Times New Roman"/>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8" w:type="pct"/>
            <w:vMerge w:val="continue"/>
            <w:vAlign w:val="center"/>
          </w:tcPr>
          <w:p>
            <w:pPr>
              <w:adjustRightInd/>
              <w:spacing w:line="276" w:lineRule="auto"/>
              <w:ind w:firstLine="360"/>
              <w:jc w:val="center"/>
              <w:rPr>
                <w:rFonts w:ascii="宋体" w:hAnsi="Times New Roman"/>
                <w:kern w:val="21"/>
                <w:sz w:val="18"/>
                <w:szCs w:val="18"/>
              </w:rPr>
            </w:pPr>
          </w:p>
        </w:tc>
        <w:tc>
          <w:tcPr>
            <w:tcW w:w="736" w:type="pct"/>
            <w:vAlign w:val="center"/>
          </w:tcPr>
          <w:p>
            <w:pPr>
              <w:adjustRightInd/>
              <w:spacing w:line="276" w:lineRule="auto"/>
              <w:ind w:firstLine="180" w:firstLineChars="100"/>
              <w:rPr>
                <w:rFonts w:ascii="宋体" w:hAnsi="Times New Roman"/>
                <w:kern w:val="21"/>
                <w:sz w:val="18"/>
                <w:szCs w:val="18"/>
              </w:rPr>
            </w:pPr>
            <w:r>
              <w:rPr>
                <w:rFonts w:hint="eastAsia" w:ascii="宋体" w:hAnsi="Times New Roman"/>
                <w:kern w:val="21"/>
                <w:sz w:val="18"/>
                <w:szCs w:val="18"/>
              </w:rPr>
              <w:t>所在省份</w:t>
            </w:r>
          </w:p>
        </w:tc>
        <w:tc>
          <w:tcPr>
            <w:tcW w:w="3736" w:type="pct"/>
            <w:gridSpan w:val="7"/>
            <w:vAlign w:val="center"/>
          </w:tcPr>
          <w:p>
            <w:pPr>
              <w:adjustRightInd/>
              <w:spacing w:line="276" w:lineRule="auto"/>
              <w:ind w:firstLine="360"/>
              <w:jc w:val="center"/>
              <w:rPr>
                <w:rFonts w:ascii="宋体" w:hAnsi="Times New Roman"/>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8" w:type="pct"/>
            <w:vMerge w:val="continue"/>
            <w:vAlign w:val="center"/>
          </w:tcPr>
          <w:p>
            <w:pPr>
              <w:adjustRightInd/>
              <w:spacing w:line="276" w:lineRule="auto"/>
              <w:ind w:firstLine="360"/>
              <w:jc w:val="center"/>
              <w:rPr>
                <w:rFonts w:ascii="宋体" w:hAnsi="Times New Roman"/>
                <w:kern w:val="21"/>
                <w:sz w:val="18"/>
                <w:szCs w:val="18"/>
              </w:rPr>
            </w:pPr>
          </w:p>
        </w:tc>
        <w:tc>
          <w:tcPr>
            <w:tcW w:w="736" w:type="pct"/>
            <w:vAlign w:val="center"/>
          </w:tcPr>
          <w:p>
            <w:pPr>
              <w:adjustRightInd/>
              <w:spacing w:line="276" w:lineRule="auto"/>
              <w:ind w:firstLine="180" w:firstLineChars="100"/>
              <w:rPr>
                <w:rFonts w:ascii="宋体" w:hAnsi="Times New Roman"/>
                <w:kern w:val="21"/>
                <w:sz w:val="18"/>
                <w:szCs w:val="18"/>
              </w:rPr>
            </w:pPr>
            <w:r>
              <w:rPr>
                <w:rFonts w:hint="eastAsia" w:ascii="宋体" w:hAnsi="Times New Roman"/>
                <w:kern w:val="21"/>
                <w:sz w:val="18"/>
                <w:szCs w:val="18"/>
              </w:rPr>
              <w:t>企业地址</w:t>
            </w:r>
          </w:p>
        </w:tc>
        <w:tc>
          <w:tcPr>
            <w:tcW w:w="3736" w:type="pct"/>
            <w:gridSpan w:val="7"/>
            <w:vAlign w:val="center"/>
          </w:tcPr>
          <w:p>
            <w:pPr>
              <w:adjustRightInd/>
              <w:spacing w:line="276" w:lineRule="auto"/>
              <w:ind w:firstLine="360"/>
              <w:jc w:val="center"/>
              <w:rPr>
                <w:rFonts w:ascii="宋体" w:hAnsi="Times New Roman"/>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8" w:type="pct"/>
            <w:vMerge w:val="continue"/>
            <w:vAlign w:val="center"/>
          </w:tcPr>
          <w:p>
            <w:pPr>
              <w:adjustRightInd/>
              <w:spacing w:line="276" w:lineRule="auto"/>
              <w:ind w:firstLine="360"/>
              <w:jc w:val="center"/>
              <w:rPr>
                <w:rFonts w:ascii="宋体" w:hAnsi="Times New Roman"/>
                <w:kern w:val="21"/>
                <w:sz w:val="18"/>
                <w:szCs w:val="18"/>
              </w:rPr>
            </w:pPr>
          </w:p>
        </w:tc>
        <w:tc>
          <w:tcPr>
            <w:tcW w:w="736" w:type="pct"/>
            <w:vMerge w:val="restart"/>
            <w:vAlign w:val="center"/>
          </w:tcPr>
          <w:p>
            <w:pPr>
              <w:adjustRightInd/>
              <w:spacing w:line="276" w:lineRule="auto"/>
              <w:ind w:firstLine="270" w:firstLineChars="150"/>
              <w:rPr>
                <w:rFonts w:ascii="宋体" w:hAnsi="Times New Roman"/>
                <w:kern w:val="21"/>
                <w:sz w:val="18"/>
                <w:szCs w:val="18"/>
              </w:rPr>
            </w:pPr>
            <w:r>
              <w:rPr>
                <w:rFonts w:hint="eastAsia" w:ascii="宋体" w:hAnsi="Times New Roman"/>
                <w:kern w:val="21"/>
                <w:sz w:val="18"/>
                <w:szCs w:val="18"/>
              </w:rPr>
              <w:t>联系人</w:t>
            </w:r>
          </w:p>
        </w:tc>
        <w:tc>
          <w:tcPr>
            <w:tcW w:w="1601" w:type="pct"/>
            <w:gridSpan w:val="2"/>
            <w:vMerge w:val="restart"/>
            <w:vAlign w:val="center"/>
          </w:tcPr>
          <w:p>
            <w:pPr>
              <w:adjustRightInd/>
              <w:spacing w:line="276" w:lineRule="auto"/>
              <w:ind w:firstLine="360"/>
              <w:jc w:val="center"/>
              <w:rPr>
                <w:rFonts w:ascii="宋体" w:hAnsi="Times New Roman"/>
                <w:kern w:val="21"/>
                <w:sz w:val="18"/>
                <w:szCs w:val="18"/>
              </w:rPr>
            </w:pPr>
          </w:p>
        </w:tc>
        <w:tc>
          <w:tcPr>
            <w:tcW w:w="907" w:type="pct"/>
            <w:gridSpan w:val="3"/>
            <w:vAlign w:val="center"/>
          </w:tcPr>
          <w:p>
            <w:pPr>
              <w:adjustRightInd/>
              <w:spacing w:line="276" w:lineRule="auto"/>
              <w:ind w:firstLine="540" w:firstLineChars="300"/>
              <w:rPr>
                <w:rFonts w:ascii="宋体" w:hAnsi="Times New Roman"/>
                <w:kern w:val="21"/>
                <w:sz w:val="18"/>
                <w:szCs w:val="18"/>
              </w:rPr>
            </w:pPr>
            <w:r>
              <w:rPr>
                <w:rFonts w:hint="eastAsia" w:ascii="宋体" w:hAnsi="Times New Roman"/>
                <w:kern w:val="21"/>
                <w:sz w:val="18"/>
                <w:szCs w:val="18"/>
              </w:rPr>
              <w:t>电话</w:t>
            </w:r>
          </w:p>
        </w:tc>
        <w:tc>
          <w:tcPr>
            <w:tcW w:w="1229" w:type="pct"/>
            <w:gridSpan w:val="2"/>
            <w:vAlign w:val="center"/>
          </w:tcPr>
          <w:p>
            <w:pPr>
              <w:adjustRightInd/>
              <w:spacing w:line="276" w:lineRule="auto"/>
              <w:ind w:firstLine="360"/>
              <w:jc w:val="center"/>
              <w:rPr>
                <w:rFonts w:ascii="宋体" w:hAnsi="Times New Roman"/>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8" w:type="pct"/>
            <w:vMerge w:val="continue"/>
            <w:vAlign w:val="center"/>
          </w:tcPr>
          <w:p>
            <w:pPr>
              <w:adjustRightInd/>
              <w:spacing w:line="276" w:lineRule="auto"/>
              <w:ind w:firstLine="360"/>
              <w:jc w:val="center"/>
              <w:rPr>
                <w:rFonts w:ascii="宋体" w:hAnsi="Times New Roman"/>
                <w:kern w:val="21"/>
                <w:sz w:val="18"/>
                <w:szCs w:val="18"/>
              </w:rPr>
            </w:pPr>
          </w:p>
        </w:tc>
        <w:tc>
          <w:tcPr>
            <w:tcW w:w="736" w:type="pct"/>
            <w:vMerge w:val="continue"/>
            <w:vAlign w:val="center"/>
          </w:tcPr>
          <w:p>
            <w:pPr>
              <w:adjustRightInd/>
              <w:spacing w:line="276" w:lineRule="auto"/>
              <w:ind w:firstLine="360"/>
              <w:rPr>
                <w:rFonts w:ascii="宋体" w:hAnsi="Times New Roman"/>
                <w:kern w:val="21"/>
                <w:sz w:val="18"/>
                <w:szCs w:val="18"/>
              </w:rPr>
            </w:pPr>
          </w:p>
        </w:tc>
        <w:tc>
          <w:tcPr>
            <w:tcW w:w="1601" w:type="pct"/>
            <w:gridSpan w:val="2"/>
            <w:vMerge w:val="continue"/>
            <w:vAlign w:val="center"/>
          </w:tcPr>
          <w:p>
            <w:pPr>
              <w:adjustRightInd/>
              <w:spacing w:line="276" w:lineRule="auto"/>
              <w:ind w:firstLine="360"/>
              <w:jc w:val="center"/>
              <w:rPr>
                <w:rFonts w:ascii="宋体" w:hAnsi="Times New Roman"/>
                <w:kern w:val="21"/>
                <w:sz w:val="18"/>
                <w:szCs w:val="18"/>
              </w:rPr>
            </w:pPr>
          </w:p>
        </w:tc>
        <w:tc>
          <w:tcPr>
            <w:tcW w:w="907" w:type="pct"/>
            <w:gridSpan w:val="3"/>
            <w:vAlign w:val="center"/>
          </w:tcPr>
          <w:p>
            <w:pPr>
              <w:adjustRightInd/>
              <w:spacing w:line="276" w:lineRule="auto"/>
              <w:ind w:firstLine="540" w:firstLineChars="300"/>
              <w:rPr>
                <w:rFonts w:ascii="宋体" w:hAnsi="Times New Roman"/>
                <w:kern w:val="21"/>
                <w:sz w:val="18"/>
                <w:szCs w:val="18"/>
              </w:rPr>
            </w:pPr>
            <w:r>
              <w:rPr>
                <w:rFonts w:hint="eastAsia" w:ascii="宋体" w:hAnsi="Times New Roman"/>
                <w:kern w:val="21"/>
                <w:sz w:val="18"/>
                <w:szCs w:val="18"/>
              </w:rPr>
              <w:t>邮箱</w:t>
            </w:r>
          </w:p>
        </w:tc>
        <w:tc>
          <w:tcPr>
            <w:tcW w:w="1229" w:type="pct"/>
            <w:gridSpan w:val="2"/>
            <w:vAlign w:val="center"/>
          </w:tcPr>
          <w:p>
            <w:pPr>
              <w:adjustRightInd/>
              <w:spacing w:line="276" w:lineRule="auto"/>
              <w:ind w:firstLine="360"/>
              <w:jc w:val="center"/>
              <w:rPr>
                <w:rFonts w:ascii="宋体" w:hAnsi="Times New Roman"/>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8" w:type="pct"/>
            <w:vMerge w:val="restart"/>
            <w:vAlign w:val="center"/>
          </w:tcPr>
          <w:p>
            <w:pPr>
              <w:adjustRightInd/>
              <w:spacing w:line="276" w:lineRule="auto"/>
              <w:jc w:val="center"/>
              <w:rPr>
                <w:rFonts w:ascii="宋体" w:hAnsi="Times New Roman"/>
                <w:kern w:val="21"/>
                <w:sz w:val="18"/>
                <w:szCs w:val="18"/>
              </w:rPr>
            </w:pPr>
            <w:r>
              <w:rPr>
                <w:rFonts w:hint="eastAsia" w:ascii="宋体" w:hAnsi="Times New Roman"/>
                <w:kern w:val="21"/>
                <w:sz w:val="18"/>
                <w:szCs w:val="18"/>
              </w:rPr>
              <w:t>产品信息</w:t>
            </w:r>
          </w:p>
        </w:tc>
        <w:tc>
          <w:tcPr>
            <w:tcW w:w="736" w:type="pct"/>
            <w:vAlign w:val="center"/>
          </w:tcPr>
          <w:p>
            <w:pPr>
              <w:adjustRightInd/>
              <w:spacing w:line="276" w:lineRule="auto"/>
              <w:rPr>
                <w:rFonts w:ascii="宋体" w:hAnsi="Times New Roman"/>
                <w:kern w:val="21"/>
                <w:sz w:val="18"/>
                <w:szCs w:val="18"/>
              </w:rPr>
            </w:pPr>
            <w:r>
              <w:rPr>
                <w:rFonts w:hint="eastAsia" w:ascii="宋体" w:hAnsi="Times New Roman"/>
                <w:kern w:val="21"/>
                <w:sz w:val="18"/>
                <w:szCs w:val="18"/>
              </w:rPr>
              <w:t>数据统计周期</w:t>
            </w:r>
          </w:p>
        </w:tc>
        <w:tc>
          <w:tcPr>
            <w:tcW w:w="3736" w:type="pct"/>
            <w:gridSpan w:val="7"/>
            <w:vAlign w:val="center"/>
          </w:tcPr>
          <w:p>
            <w:pPr>
              <w:adjustRightInd/>
              <w:spacing w:line="276" w:lineRule="auto"/>
              <w:ind w:firstLine="360"/>
              <w:jc w:val="center"/>
              <w:rPr>
                <w:rFonts w:ascii="宋体" w:hAnsi="Times New Roman"/>
                <w:kern w:val="21"/>
                <w:sz w:val="18"/>
                <w:szCs w:val="18"/>
              </w:rPr>
            </w:pPr>
            <w:r>
              <w:rPr>
                <w:rFonts w:hint="eastAsia" w:ascii="宋体" w:hAnsi="Times New Roman"/>
                <w:kern w:val="21"/>
                <w:sz w:val="18"/>
                <w:szCs w:val="18"/>
                <w:u w:val="single"/>
              </w:rPr>
              <w:t>年  月  日  至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8" w:type="pct"/>
            <w:vMerge w:val="continue"/>
            <w:vAlign w:val="center"/>
          </w:tcPr>
          <w:p>
            <w:pPr>
              <w:adjustRightInd/>
              <w:spacing w:line="276" w:lineRule="auto"/>
              <w:ind w:firstLine="360"/>
              <w:jc w:val="center"/>
              <w:rPr>
                <w:rFonts w:ascii="宋体" w:hAnsi="Times New Roman"/>
                <w:kern w:val="21"/>
                <w:sz w:val="18"/>
                <w:szCs w:val="18"/>
              </w:rPr>
            </w:pPr>
          </w:p>
        </w:tc>
        <w:tc>
          <w:tcPr>
            <w:tcW w:w="736" w:type="pct"/>
            <w:vAlign w:val="center"/>
          </w:tcPr>
          <w:p>
            <w:pPr>
              <w:adjustRightInd/>
              <w:spacing w:line="276" w:lineRule="auto"/>
              <w:ind w:firstLine="180" w:firstLineChars="100"/>
              <w:rPr>
                <w:rFonts w:ascii="宋体" w:hAnsi="Times New Roman"/>
                <w:kern w:val="21"/>
                <w:sz w:val="18"/>
                <w:szCs w:val="18"/>
              </w:rPr>
            </w:pPr>
            <w:r>
              <w:rPr>
                <w:rFonts w:hint="eastAsia" w:ascii="宋体" w:hAnsi="Times New Roman"/>
                <w:kern w:val="21"/>
                <w:sz w:val="18"/>
                <w:szCs w:val="18"/>
              </w:rPr>
              <w:t>产品名称</w:t>
            </w:r>
          </w:p>
        </w:tc>
        <w:tc>
          <w:tcPr>
            <w:tcW w:w="3736" w:type="pct"/>
            <w:gridSpan w:val="7"/>
            <w:vAlign w:val="center"/>
          </w:tcPr>
          <w:p>
            <w:pPr>
              <w:adjustRightInd/>
              <w:spacing w:line="276" w:lineRule="auto"/>
              <w:ind w:firstLine="360"/>
              <w:jc w:val="center"/>
              <w:rPr>
                <w:rFonts w:ascii="宋体" w:hAnsi="Times New Roman"/>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8" w:type="pct"/>
            <w:vMerge w:val="continue"/>
            <w:vAlign w:val="center"/>
          </w:tcPr>
          <w:p>
            <w:pPr>
              <w:adjustRightInd/>
              <w:spacing w:line="276" w:lineRule="auto"/>
              <w:ind w:firstLine="360"/>
              <w:jc w:val="center"/>
              <w:rPr>
                <w:rFonts w:ascii="宋体" w:hAnsi="Times New Roman"/>
                <w:kern w:val="21"/>
                <w:sz w:val="18"/>
                <w:szCs w:val="18"/>
              </w:rPr>
            </w:pPr>
          </w:p>
        </w:tc>
        <w:tc>
          <w:tcPr>
            <w:tcW w:w="736" w:type="pct"/>
            <w:vAlign w:val="center"/>
          </w:tcPr>
          <w:p>
            <w:pPr>
              <w:adjustRightInd/>
              <w:spacing w:line="276" w:lineRule="auto"/>
              <w:ind w:firstLine="180" w:firstLineChars="100"/>
              <w:rPr>
                <w:rFonts w:ascii="宋体" w:hAnsi="Times New Roman"/>
                <w:kern w:val="21"/>
                <w:sz w:val="18"/>
                <w:szCs w:val="18"/>
              </w:rPr>
            </w:pPr>
            <w:r>
              <w:rPr>
                <w:rFonts w:hint="eastAsia" w:ascii="宋体" w:hAnsi="Times New Roman"/>
                <w:kern w:val="21"/>
                <w:sz w:val="18"/>
                <w:szCs w:val="18"/>
              </w:rPr>
              <w:t>规格型号</w:t>
            </w:r>
          </w:p>
        </w:tc>
        <w:tc>
          <w:tcPr>
            <w:tcW w:w="1087" w:type="pct"/>
            <w:vAlign w:val="center"/>
          </w:tcPr>
          <w:p>
            <w:pPr>
              <w:adjustRightInd/>
              <w:spacing w:line="276" w:lineRule="auto"/>
              <w:ind w:firstLine="360"/>
              <w:jc w:val="center"/>
              <w:rPr>
                <w:rFonts w:ascii="宋体" w:hAnsi="Times New Roman"/>
                <w:kern w:val="21"/>
                <w:sz w:val="18"/>
                <w:szCs w:val="18"/>
              </w:rPr>
            </w:pPr>
          </w:p>
        </w:tc>
        <w:tc>
          <w:tcPr>
            <w:tcW w:w="780" w:type="pct"/>
            <w:gridSpan w:val="2"/>
            <w:vAlign w:val="center"/>
          </w:tcPr>
          <w:p>
            <w:pPr>
              <w:adjustRightInd/>
              <w:spacing w:line="276" w:lineRule="auto"/>
              <w:ind w:firstLine="450" w:firstLineChars="250"/>
              <w:rPr>
                <w:rFonts w:ascii="宋体" w:hAnsi="Times New Roman"/>
                <w:kern w:val="21"/>
                <w:sz w:val="18"/>
                <w:szCs w:val="18"/>
              </w:rPr>
            </w:pPr>
            <w:r>
              <w:rPr>
                <w:rFonts w:hint="eastAsia" w:ascii="宋体" w:hAnsi="Times New Roman"/>
                <w:kern w:val="21"/>
                <w:sz w:val="18"/>
                <w:szCs w:val="18"/>
              </w:rPr>
              <w:t>重量</w:t>
            </w:r>
          </w:p>
        </w:tc>
        <w:tc>
          <w:tcPr>
            <w:tcW w:w="622" w:type="pct"/>
            <w:vAlign w:val="center"/>
          </w:tcPr>
          <w:p>
            <w:pPr>
              <w:adjustRightInd/>
              <w:spacing w:line="276" w:lineRule="auto"/>
              <w:ind w:firstLine="360"/>
              <w:jc w:val="center"/>
              <w:rPr>
                <w:rFonts w:ascii="宋体" w:hAnsi="Times New Roman"/>
                <w:kern w:val="21"/>
                <w:sz w:val="18"/>
                <w:szCs w:val="18"/>
              </w:rPr>
            </w:pPr>
          </w:p>
        </w:tc>
        <w:tc>
          <w:tcPr>
            <w:tcW w:w="622" w:type="pct"/>
            <w:gridSpan w:val="2"/>
            <w:vAlign w:val="center"/>
          </w:tcPr>
          <w:p>
            <w:pPr>
              <w:adjustRightInd/>
              <w:spacing w:line="276" w:lineRule="auto"/>
              <w:ind w:firstLine="270" w:firstLineChars="150"/>
              <w:rPr>
                <w:rFonts w:ascii="宋体" w:hAnsi="Times New Roman"/>
                <w:kern w:val="21"/>
                <w:sz w:val="18"/>
                <w:szCs w:val="18"/>
              </w:rPr>
            </w:pPr>
            <w:r>
              <w:rPr>
                <w:rFonts w:hint="eastAsia" w:ascii="宋体" w:hAnsi="Times New Roman"/>
                <w:kern w:val="21"/>
                <w:sz w:val="18"/>
                <w:szCs w:val="18"/>
              </w:rPr>
              <w:t>尺寸</w:t>
            </w:r>
          </w:p>
        </w:tc>
        <w:tc>
          <w:tcPr>
            <w:tcW w:w="626" w:type="pct"/>
            <w:vAlign w:val="center"/>
          </w:tcPr>
          <w:p>
            <w:pPr>
              <w:adjustRightInd/>
              <w:spacing w:line="276" w:lineRule="auto"/>
              <w:ind w:firstLine="360"/>
              <w:jc w:val="center"/>
              <w:rPr>
                <w:rFonts w:ascii="宋体" w:hAnsi="Times New Roman"/>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8" w:type="pct"/>
            <w:vMerge w:val="continue"/>
            <w:vAlign w:val="center"/>
          </w:tcPr>
          <w:p>
            <w:pPr>
              <w:adjustRightInd/>
              <w:spacing w:line="276" w:lineRule="auto"/>
              <w:ind w:firstLine="360"/>
              <w:jc w:val="center"/>
              <w:rPr>
                <w:rFonts w:ascii="宋体" w:hAnsi="Times New Roman"/>
                <w:kern w:val="21"/>
                <w:sz w:val="18"/>
                <w:szCs w:val="18"/>
              </w:rPr>
            </w:pPr>
          </w:p>
        </w:tc>
        <w:tc>
          <w:tcPr>
            <w:tcW w:w="736" w:type="pct"/>
            <w:vAlign w:val="center"/>
          </w:tcPr>
          <w:p>
            <w:pPr>
              <w:adjustRightInd/>
              <w:spacing w:line="276" w:lineRule="auto"/>
              <w:ind w:firstLine="90" w:firstLineChars="50"/>
              <w:rPr>
                <w:rFonts w:ascii="宋体" w:hAnsi="Times New Roman"/>
                <w:kern w:val="21"/>
                <w:sz w:val="18"/>
                <w:szCs w:val="18"/>
              </w:rPr>
            </w:pPr>
            <w:r>
              <w:rPr>
                <w:rFonts w:hint="eastAsia" w:ascii="宋体" w:hAnsi="Times New Roman"/>
                <w:kern w:val="21"/>
                <w:sz w:val="18"/>
                <w:szCs w:val="18"/>
              </w:rPr>
              <w:t>产品示意图</w:t>
            </w:r>
          </w:p>
        </w:tc>
        <w:tc>
          <w:tcPr>
            <w:tcW w:w="3736" w:type="pct"/>
            <w:gridSpan w:val="7"/>
            <w:vAlign w:val="center"/>
          </w:tcPr>
          <w:p>
            <w:pPr>
              <w:adjustRightInd/>
              <w:spacing w:line="276" w:lineRule="auto"/>
              <w:ind w:firstLine="360"/>
              <w:jc w:val="center"/>
              <w:rPr>
                <w:rFonts w:ascii="宋体" w:hAnsi="Times New Roman"/>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528" w:type="pct"/>
            <w:vMerge w:val="continue"/>
            <w:vAlign w:val="center"/>
          </w:tcPr>
          <w:p>
            <w:pPr>
              <w:adjustRightInd/>
              <w:spacing w:line="276" w:lineRule="auto"/>
              <w:ind w:firstLine="360"/>
              <w:jc w:val="center"/>
              <w:rPr>
                <w:rFonts w:ascii="宋体" w:hAnsi="Times New Roman"/>
                <w:kern w:val="21"/>
                <w:sz w:val="18"/>
                <w:szCs w:val="18"/>
              </w:rPr>
            </w:pPr>
          </w:p>
        </w:tc>
        <w:tc>
          <w:tcPr>
            <w:tcW w:w="736" w:type="pct"/>
            <w:vAlign w:val="center"/>
          </w:tcPr>
          <w:p>
            <w:pPr>
              <w:adjustRightInd/>
              <w:spacing w:line="276" w:lineRule="auto"/>
              <w:rPr>
                <w:rFonts w:ascii="宋体" w:hAnsi="Times New Roman"/>
                <w:kern w:val="21"/>
                <w:sz w:val="18"/>
                <w:szCs w:val="18"/>
              </w:rPr>
            </w:pPr>
            <w:r>
              <w:rPr>
                <w:rFonts w:hint="eastAsia" w:ascii="宋体" w:hAnsi="Times New Roman"/>
                <w:kern w:val="21"/>
                <w:sz w:val="18"/>
                <w:szCs w:val="18"/>
              </w:rPr>
              <w:t>产品工艺流程图</w:t>
            </w:r>
          </w:p>
        </w:tc>
        <w:tc>
          <w:tcPr>
            <w:tcW w:w="3736" w:type="pct"/>
            <w:gridSpan w:val="7"/>
            <w:vAlign w:val="center"/>
          </w:tcPr>
          <w:p>
            <w:pPr>
              <w:adjustRightInd/>
              <w:spacing w:line="276" w:lineRule="auto"/>
              <w:ind w:firstLine="360"/>
              <w:jc w:val="center"/>
              <w:rPr>
                <w:rFonts w:ascii="宋体" w:hAnsi="Times New Roman"/>
                <w:kern w:val="21"/>
                <w:sz w:val="18"/>
                <w:szCs w:val="18"/>
              </w:rPr>
            </w:pPr>
          </w:p>
        </w:tc>
      </w:tr>
    </w:tbl>
    <w:p>
      <w:pPr>
        <w:pStyle w:val="79"/>
        <w:spacing w:before="156" w:after="156"/>
      </w:pPr>
      <w:r>
        <w:rPr>
          <w:rFonts w:hint="eastAsia"/>
        </w:rPr>
        <w:t>资源投入</w:t>
      </w:r>
      <w:r>
        <w:t>表格</w:t>
      </w:r>
      <w:r>
        <w:rPr>
          <w:rFonts w:hint="eastAsia"/>
        </w:rPr>
        <w:t>示例</w:t>
      </w:r>
    </w:p>
    <w:tbl>
      <w:tblPr>
        <w:tblStyle w:val="23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1901"/>
        <w:gridCol w:w="1162"/>
        <w:gridCol w:w="1309"/>
        <w:gridCol w:w="1308"/>
        <w:gridCol w:w="1309"/>
        <w:gridCol w:w="15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520" w:type="pct"/>
            <w:vAlign w:val="center"/>
          </w:tcPr>
          <w:p>
            <w:pPr>
              <w:adjustRightInd/>
              <w:spacing w:line="276" w:lineRule="auto"/>
              <w:ind w:firstLine="360"/>
              <w:jc w:val="center"/>
              <w:rPr>
                <w:rFonts w:ascii="宋体" w:hAnsi="Times New Roman"/>
                <w:kern w:val="21"/>
                <w:sz w:val="18"/>
                <w:szCs w:val="18"/>
              </w:rPr>
            </w:pPr>
          </w:p>
        </w:tc>
        <w:tc>
          <w:tcPr>
            <w:tcW w:w="993" w:type="pct"/>
            <w:vAlign w:val="center"/>
          </w:tcPr>
          <w:p>
            <w:pPr>
              <w:adjustRightInd/>
              <w:spacing w:line="276" w:lineRule="auto"/>
              <w:ind w:firstLine="540" w:firstLineChars="300"/>
              <w:rPr>
                <w:rFonts w:ascii="宋体" w:hAnsi="Times New Roman"/>
                <w:kern w:val="21"/>
                <w:sz w:val="18"/>
                <w:szCs w:val="18"/>
              </w:rPr>
            </w:pPr>
            <w:r>
              <w:rPr>
                <w:rFonts w:hint="eastAsia" w:ascii="宋体" w:hAnsi="Times New Roman"/>
                <w:kern w:val="21"/>
                <w:sz w:val="18"/>
                <w:szCs w:val="18"/>
              </w:rPr>
              <w:t>项目</w:t>
            </w:r>
          </w:p>
        </w:tc>
        <w:tc>
          <w:tcPr>
            <w:tcW w:w="607" w:type="pct"/>
            <w:vAlign w:val="center"/>
          </w:tcPr>
          <w:p>
            <w:pPr>
              <w:adjustRightInd/>
              <w:spacing w:line="276" w:lineRule="auto"/>
              <w:ind w:firstLine="180" w:firstLineChars="100"/>
              <w:rPr>
                <w:rFonts w:ascii="宋体" w:hAnsi="Times New Roman"/>
                <w:kern w:val="21"/>
                <w:sz w:val="18"/>
                <w:szCs w:val="18"/>
              </w:rPr>
            </w:pPr>
            <w:r>
              <w:rPr>
                <w:rFonts w:hint="eastAsia" w:ascii="宋体" w:hAnsi="Times New Roman"/>
                <w:kern w:val="21"/>
                <w:sz w:val="18"/>
                <w:szCs w:val="18"/>
              </w:rPr>
              <w:t>消耗量</w:t>
            </w:r>
          </w:p>
        </w:tc>
        <w:tc>
          <w:tcPr>
            <w:tcW w:w="684" w:type="pct"/>
            <w:vAlign w:val="center"/>
          </w:tcPr>
          <w:p>
            <w:pPr>
              <w:adjustRightInd/>
              <w:spacing w:line="276" w:lineRule="auto"/>
              <w:ind w:firstLine="360"/>
              <w:rPr>
                <w:rFonts w:ascii="宋体" w:hAnsi="Times New Roman"/>
                <w:kern w:val="21"/>
                <w:sz w:val="18"/>
                <w:szCs w:val="18"/>
              </w:rPr>
            </w:pPr>
            <w:r>
              <w:rPr>
                <w:rFonts w:hint="eastAsia" w:ascii="宋体" w:hAnsi="Times New Roman"/>
                <w:kern w:val="21"/>
                <w:sz w:val="18"/>
                <w:szCs w:val="18"/>
              </w:rPr>
              <w:t>单位</w:t>
            </w:r>
          </w:p>
        </w:tc>
        <w:tc>
          <w:tcPr>
            <w:tcW w:w="683" w:type="pct"/>
            <w:vAlign w:val="center"/>
          </w:tcPr>
          <w:p>
            <w:pPr>
              <w:adjustRightInd/>
              <w:spacing w:line="276" w:lineRule="auto"/>
              <w:ind w:firstLine="180" w:firstLineChars="100"/>
              <w:rPr>
                <w:rFonts w:ascii="宋体" w:hAnsi="Times New Roman"/>
                <w:kern w:val="21"/>
                <w:sz w:val="18"/>
                <w:szCs w:val="18"/>
              </w:rPr>
            </w:pPr>
            <w:r>
              <w:rPr>
                <w:rFonts w:ascii="宋体" w:hAnsi="Times New Roman"/>
                <w:kern w:val="21"/>
                <w:sz w:val="18"/>
                <w:szCs w:val="18"/>
              </w:rPr>
              <w:t>总重量</w:t>
            </w:r>
          </w:p>
          <w:p>
            <w:pPr>
              <w:adjustRightInd/>
              <w:spacing w:line="276" w:lineRule="auto"/>
              <w:ind w:firstLine="360"/>
              <w:rPr>
                <w:rFonts w:ascii="宋体" w:hAnsi="Times New Roman"/>
                <w:kern w:val="21"/>
                <w:sz w:val="18"/>
                <w:szCs w:val="18"/>
              </w:rPr>
            </w:pPr>
            <w:r>
              <w:rPr>
                <w:rFonts w:ascii="宋体" w:hAnsi="Times New Roman"/>
                <w:kern w:val="21"/>
                <w:sz w:val="18"/>
                <w:szCs w:val="18"/>
              </w:rPr>
              <w:t>kg</w:t>
            </w:r>
          </w:p>
        </w:tc>
        <w:tc>
          <w:tcPr>
            <w:tcW w:w="684" w:type="pct"/>
            <w:vAlign w:val="center"/>
          </w:tcPr>
          <w:p>
            <w:pPr>
              <w:adjustRightInd/>
              <w:spacing w:line="276" w:lineRule="auto"/>
              <w:ind w:firstLine="90" w:firstLineChars="50"/>
              <w:rPr>
                <w:rFonts w:ascii="宋体" w:hAnsi="Times New Roman"/>
                <w:kern w:val="21"/>
                <w:sz w:val="18"/>
                <w:szCs w:val="18"/>
              </w:rPr>
            </w:pPr>
            <w:r>
              <w:rPr>
                <w:rFonts w:hint="eastAsia" w:ascii="宋体" w:hAnsi="Times New Roman"/>
                <w:kern w:val="21"/>
                <w:sz w:val="18"/>
                <w:szCs w:val="18"/>
              </w:rPr>
              <w:t>运输方式</w:t>
            </w:r>
          </w:p>
        </w:tc>
        <w:tc>
          <w:tcPr>
            <w:tcW w:w="828" w:type="pct"/>
            <w:vAlign w:val="center"/>
          </w:tcPr>
          <w:p>
            <w:pPr>
              <w:adjustRightInd/>
              <w:spacing w:line="276" w:lineRule="auto"/>
              <w:ind w:firstLine="270" w:firstLineChars="150"/>
              <w:rPr>
                <w:rFonts w:ascii="宋体" w:hAnsi="Times New Roman"/>
                <w:kern w:val="21"/>
                <w:sz w:val="18"/>
                <w:szCs w:val="18"/>
              </w:rPr>
            </w:pPr>
            <w:r>
              <w:rPr>
                <w:rFonts w:hint="eastAsia" w:ascii="宋体" w:hAnsi="Times New Roman"/>
                <w:kern w:val="21"/>
                <w:sz w:val="18"/>
                <w:szCs w:val="18"/>
              </w:rPr>
              <w:t>运输距离</w:t>
            </w:r>
          </w:p>
          <w:p>
            <w:pPr>
              <w:adjustRightInd/>
              <w:spacing w:line="276" w:lineRule="auto"/>
              <w:ind w:firstLine="540" w:firstLineChars="300"/>
              <w:rPr>
                <w:rFonts w:ascii="宋体" w:hAnsi="Times New Roman"/>
                <w:kern w:val="21"/>
                <w:sz w:val="18"/>
                <w:szCs w:val="18"/>
              </w:rPr>
            </w:pPr>
            <w:r>
              <w:rPr>
                <w:rFonts w:hint="eastAsia" w:ascii="宋体" w:hAnsi="Times New Roman"/>
                <w:kern w:val="21"/>
                <w:sz w:val="18"/>
                <w:szCs w:val="18"/>
              </w:rPr>
              <w:t>km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0" w:type="pct"/>
            <w:vMerge w:val="restart"/>
            <w:vAlign w:val="center"/>
          </w:tcPr>
          <w:p>
            <w:pPr>
              <w:adjustRightInd/>
              <w:spacing w:line="276" w:lineRule="auto"/>
              <w:rPr>
                <w:rFonts w:ascii="宋体" w:hAnsi="Times New Roman"/>
                <w:kern w:val="21"/>
                <w:sz w:val="18"/>
                <w:szCs w:val="18"/>
              </w:rPr>
            </w:pPr>
            <w:r>
              <w:rPr>
                <w:rFonts w:hint="eastAsia" w:ascii="宋体" w:hAnsi="Times New Roman"/>
                <w:kern w:val="21"/>
                <w:sz w:val="18"/>
                <w:szCs w:val="18"/>
              </w:rPr>
              <w:t>资源投入</w:t>
            </w:r>
          </w:p>
        </w:tc>
        <w:tc>
          <w:tcPr>
            <w:tcW w:w="993" w:type="pct"/>
            <w:vAlign w:val="center"/>
          </w:tcPr>
          <w:p>
            <w:pPr>
              <w:adjustRightInd/>
              <w:spacing w:line="276" w:lineRule="auto"/>
              <w:ind w:firstLine="630" w:firstLineChars="350"/>
              <w:rPr>
                <w:rFonts w:ascii="宋体" w:hAnsi="Times New Roman"/>
                <w:kern w:val="21"/>
                <w:sz w:val="18"/>
                <w:szCs w:val="18"/>
              </w:rPr>
            </w:pPr>
            <w:r>
              <w:rPr>
                <w:rFonts w:hint="eastAsia" w:ascii="宋体" w:hAnsi="Times New Roman"/>
                <w:kern w:val="21"/>
                <w:sz w:val="18"/>
                <w:szCs w:val="18"/>
              </w:rPr>
              <w:t>褐煤</w:t>
            </w:r>
          </w:p>
        </w:tc>
        <w:tc>
          <w:tcPr>
            <w:tcW w:w="607" w:type="pct"/>
            <w:vAlign w:val="center"/>
          </w:tcPr>
          <w:p>
            <w:pPr>
              <w:adjustRightInd/>
              <w:spacing w:line="276" w:lineRule="auto"/>
              <w:ind w:firstLine="360"/>
              <w:jc w:val="center"/>
              <w:rPr>
                <w:rFonts w:ascii="宋体" w:hAnsi="Times New Roman"/>
                <w:kern w:val="21"/>
                <w:sz w:val="18"/>
                <w:szCs w:val="18"/>
              </w:rPr>
            </w:pPr>
          </w:p>
        </w:tc>
        <w:tc>
          <w:tcPr>
            <w:tcW w:w="684" w:type="pct"/>
            <w:vAlign w:val="center"/>
          </w:tcPr>
          <w:p>
            <w:pPr>
              <w:adjustRightInd/>
              <w:spacing w:line="276" w:lineRule="auto"/>
              <w:ind w:firstLine="360"/>
              <w:jc w:val="center"/>
              <w:rPr>
                <w:rFonts w:ascii="宋体" w:hAnsi="Times New Roman"/>
                <w:kern w:val="21"/>
                <w:sz w:val="18"/>
                <w:szCs w:val="18"/>
              </w:rPr>
            </w:pPr>
          </w:p>
        </w:tc>
        <w:tc>
          <w:tcPr>
            <w:tcW w:w="683" w:type="pct"/>
            <w:vAlign w:val="center"/>
          </w:tcPr>
          <w:p>
            <w:pPr>
              <w:adjustRightInd/>
              <w:spacing w:line="276" w:lineRule="auto"/>
              <w:ind w:firstLine="360"/>
              <w:jc w:val="center"/>
              <w:rPr>
                <w:rFonts w:ascii="宋体" w:hAnsi="Times New Roman"/>
                <w:kern w:val="21"/>
                <w:sz w:val="18"/>
                <w:szCs w:val="18"/>
              </w:rPr>
            </w:pPr>
          </w:p>
        </w:tc>
        <w:tc>
          <w:tcPr>
            <w:tcW w:w="684" w:type="pct"/>
            <w:vAlign w:val="center"/>
          </w:tcPr>
          <w:p>
            <w:pPr>
              <w:adjustRightInd/>
              <w:spacing w:line="276" w:lineRule="auto"/>
              <w:ind w:firstLine="360"/>
              <w:jc w:val="center"/>
              <w:rPr>
                <w:rFonts w:ascii="宋体" w:hAnsi="Times New Roman"/>
                <w:kern w:val="21"/>
                <w:sz w:val="18"/>
                <w:szCs w:val="18"/>
              </w:rPr>
            </w:pPr>
          </w:p>
        </w:tc>
        <w:tc>
          <w:tcPr>
            <w:tcW w:w="828" w:type="pct"/>
            <w:vAlign w:val="center"/>
          </w:tcPr>
          <w:p>
            <w:pPr>
              <w:adjustRightInd/>
              <w:spacing w:line="276" w:lineRule="auto"/>
              <w:ind w:firstLine="360"/>
              <w:jc w:val="center"/>
              <w:rPr>
                <w:rFonts w:ascii="宋体" w:hAnsi="Times New Roman"/>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0" w:type="pct"/>
            <w:vMerge w:val="continue"/>
            <w:vAlign w:val="center"/>
          </w:tcPr>
          <w:p>
            <w:pPr>
              <w:adjustRightInd/>
              <w:spacing w:line="276" w:lineRule="auto"/>
              <w:ind w:firstLine="360"/>
              <w:rPr>
                <w:rFonts w:ascii="宋体" w:hAnsi="Times New Roman"/>
                <w:kern w:val="21"/>
                <w:sz w:val="18"/>
                <w:szCs w:val="18"/>
              </w:rPr>
            </w:pPr>
          </w:p>
        </w:tc>
        <w:tc>
          <w:tcPr>
            <w:tcW w:w="993" w:type="pct"/>
            <w:vAlign w:val="center"/>
          </w:tcPr>
          <w:p>
            <w:pPr>
              <w:adjustRightInd/>
              <w:spacing w:line="276" w:lineRule="auto"/>
              <w:ind w:firstLine="540" w:firstLineChars="300"/>
              <w:rPr>
                <w:rFonts w:ascii="宋体" w:hAnsi="Times New Roman"/>
                <w:kern w:val="21"/>
                <w:sz w:val="18"/>
                <w:szCs w:val="18"/>
              </w:rPr>
            </w:pPr>
            <w:r>
              <w:rPr>
                <w:rFonts w:hint="eastAsia" w:ascii="宋体" w:hAnsi="Times New Roman"/>
                <w:kern w:val="21"/>
                <w:sz w:val="18"/>
                <w:szCs w:val="18"/>
              </w:rPr>
              <w:t>无烟煤</w:t>
            </w:r>
          </w:p>
        </w:tc>
        <w:tc>
          <w:tcPr>
            <w:tcW w:w="607" w:type="pct"/>
            <w:vAlign w:val="center"/>
          </w:tcPr>
          <w:p>
            <w:pPr>
              <w:adjustRightInd/>
              <w:spacing w:line="276" w:lineRule="auto"/>
              <w:ind w:firstLine="360"/>
              <w:jc w:val="center"/>
              <w:rPr>
                <w:rFonts w:ascii="宋体" w:hAnsi="Times New Roman"/>
                <w:kern w:val="21"/>
                <w:sz w:val="18"/>
                <w:szCs w:val="18"/>
              </w:rPr>
            </w:pPr>
          </w:p>
        </w:tc>
        <w:tc>
          <w:tcPr>
            <w:tcW w:w="684" w:type="pct"/>
            <w:vAlign w:val="center"/>
          </w:tcPr>
          <w:p>
            <w:pPr>
              <w:adjustRightInd/>
              <w:spacing w:line="276" w:lineRule="auto"/>
              <w:ind w:firstLine="360"/>
              <w:rPr>
                <w:rFonts w:ascii="宋体" w:hAnsi="Times New Roman"/>
                <w:kern w:val="21"/>
                <w:sz w:val="18"/>
                <w:szCs w:val="18"/>
              </w:rPr>
            </w:pPr>
          </w:p>
        </w:tc>
        <w:tc>
          <w:tcPr>
            <w:tcW w:w="683" w:type="pct"/>
            <w:vAlign w:val="center"/>
          </w:tcPr>
          <w:p>
            <w:pPr>
              <w:adjustRightInd/>
              <w:spacing w:line="276" w:lineRule="auto"/>
              <w:ind w:firstLine="360"/>
              <w:jc w:val="center"/>
              <w:rPr>
                <w:rFonts w:ascii="宋体" w:hAnsi="Times New Roman"/>
                <w:kern w:val="21"/>
                <w:sz w:val="18"/>
                <w:szCs w:val="18"/>
              </w:rPr>
            </w:pPr>
          </w:p>
        </w:tc>
        <w:tc>
          <w:tcPr>
            <w:tcW w:w="684" w:type="pct"/>
            <w:vAlign w:val="center"/>
          </w:tcPr>
          <w:p>
            <w:pPr>
              <w:adjustRightInd/>
              <w:spacing w:line="276" w:lineRule="auto"/>
              <w:ind w:firstLine="360"/>
              <w:jc w:val="center"/>
              <w:rPr>
                <w:rFonts w:ascii="宋体" w:hAnsi="Times New Roman"/>
                <w:kern w:val="21"/>
                <w:sz w:val="18"/>
                <w:szCs w:val="18"/>
              </w:rPr>
            </w:pPr>
          </w:p>
        </w:tc>
        <w:tc>
          <w:tcPr>
            <w:tcW w:w="828" w:type="pct"/>
            <w:vAlign w:val="center"/>
          </w:tcPr>
          <w:p>
            <w:pPr>
              <w:adjustRightInd/>
              <w:spacing w:line="276" w:lineRule="auto"/>
              <w:ind w:firstLine="360"/>
              <w:jc w:val="center"/>
              <w:rPr>
                <w:rFonts w:ascii="宋体" w:hAnsi="Times New Roman"/>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20" w:type="pct"/>
            <w:vMerge w:val="continue"/>
            <w:vAlign w:val="center"/>
          </w:tcPr>
          <w:p>
            <w:pPr>
              <w:adjustRightInd/>
              <w:spacing w:line="276" w:lineRule="auto"/>
              <w:ind w:firstLine="360"/>
              <w:rPr>
                <w:rFonts w:ascii="宋体" w:hAnsi="Times New Roman"/>
                <w:kern w:val="21"/>
                <w:sz w:val="18"/>
                <w:szCs w:val="18"/>
              </w:rPr>
            </w:pPr>
          </w:p>
        </w:tc>
        <w:tc>
          <w:tcPr>
            <w:tcW w:w="993" w:type="pct"/>
            <w:vAlign w:val="center"/>
          </w:tcPr>
          <w:p>
            <w:pPr>
              <w:adjustRightInd/>
              <w:spacing w:line="276" w:lineRule="auto"/>
              <w:ind w:firstLine="630" w:firstLineChars="350"/>
              <w:rPr>
                <w:rFonts w:ascii="宋体" w:hAnsi="Times New Roman"/>
                <w:kern w:val="21"/>
                <w:sz w:val="18"/>
                <w:szCs w:val="18"/>
              </w:rPr>
            </w:pPr>
            <w:r>
              <w:rPr>
                <w:rFonts w:hint="eastAsia" w:ascii="宋体" w:hAnsi="Times New Roman"/>
                <w:kern w:val="21"/>
                <w:sz w:val="18"/>
                <w:szCs w:val="18"/>
              </w:rPr>
              <w:t>烟煤</w:t>
            </w:r>
          </w:p>
        </w:tc>
        <w:tc>
          <w:tcPr>
            <w:tcW w:w="607" w:type="pct"/>
            <w:vAlign w:val="center"/>
          </w:tcPr>
          <w:p>
            <w:pPr>
              <w:adjustRightInd/>
              <w:spacing w:line="276" w:lineRule="auto"/>
              <w:ind w:firstLine="360"/>
              <w:jc w:val="center"/>
              <w:rPr>
                <w:rFonts w:ascii="宋体" w:hAnsi="Times New Roman"/>
                <w:kern w:val="21"/>
                <w:sz w:val="18"/>
                <w:szCs w:val="18"/>
              </w:rPr>
            </w:pPr>
          </w:p>
        </w:tc>
        <w:tc>
          <w:tcPr>
            <w:tcW w:w="684" w:type="pct"/>
            <w:vAlign w:val="center"/>
          </w:tcPr>
          <w:p>
            <w:pPr>
              <w:ind w:firstLine="360"/>
              <w:rPr>
                <w:rFonts w:ascii="宋体" w:hAnsi="宋体" w:cs="宋体"/>
                <w:sz w:val="18"/>
                <w:szCs w:val="18"/>
              </w:rPr>
            </w:pPr>
          </w:p>
        </w:tc>
        <w:tc>
          <w:tcPr>
            <w:tcW w:w="683" w:type="pct"/>
            <w:vAlign w:val="center"/>
          </w:tcPr>
          <w:p>
            <w:pPr>
              <w:adjustRightInd/>
              <w:spacing w:line="276" w:lineRule="auto"/>
              <w:ind w:firstLine="360"/>
              <w:jc w:val="center"/>
              <w:rPr>
                <w:rFonts w:ascii="宋体" w:hAnsi="Times New Roman"/>
                <w:kern w:val="21"/>
                <w:sz w:val="18"/>
                <w:szCs w:val="18"/>
              </w:rPr>
            </w:pPr>
          </w:p>
        </w:tc>
        <w:tc>
          <w:tcPr>
            <w:tcW w:w="684" w:type="pct"/>
            <w:vAlign w:val="center"/>
          </w:tcPr>
          <w:p>
            <w:pPr>
              <w:adjustRightInd/>
              <w:spacing w:line="276" w:lineRule="auto"/>
              <w:ind w:firstLine="360"/>
              <w:jc w:val="center"/>
              <w:rPr>
                <w:rFonts w:ascii="宋体" w:hAnsi="Times New Roman"/>
                <w:kern w:val="21"/>
                <w:sz w:val="18"/>
                <w:szCs w:val="18"/>
              </w:rPr>
            </w:pPr>
          </w:p>
        </w:tc>
        <w:tc>
          <w:tcPr>
            <w:tcW w:w="828" w:type="pct"/>
            <w:vAlign w:val="center"/>
          </w:tcPr>
          <w:p>
            <w:pPr>
              <w:adjustRightInd/>
              <w:spacing w:line="276" w:lineRule="auto"/>
              <w:ind w:firstLine="360"/>
              <w:jc w:val="center"/>
              <w:rPr>
                <w:rFonts w:ascii="宋体" w:hAnsi="Times New Roman"/>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20" w:type="pct"/>
            <w:vMerge w:val="continue"/>
            <w:vAlign w:val="center"/>
          </w:tcPr>
          <w:p>
            <w:pPr>
              <w:adjustRightInd/>
              <w:spacing w:line="276" w:lineRule="auto"/>
              <w:ind w:firstLine="360"/>
              <w:rPr>
                <w:rFonts w:ascii="宋体" w:hAnsi="Times New Roman"/>
                <w:kern w:val="21"/>
                <w:sz w:val="18"/>
                <w:szCs w:val="18"/>
              </w:rPr>
            </w:pPr>
          </w:p>
        </w:tc>
        <w:tc>
          <w:tcPr>
            <w:tcW w:w="993" w:type="pct"/>
            <w:vAlign w:val="center"/>
          </w:tcPr>
          <w:p>
            <w:pPr>
              <w:adjustRightInd/>
              <w:spacing w:line="276" w:lineRule="auto"/>
              <w:ind w:firstLine="360"/>
              <w:jc w:val="center"/>
              <w:rPr>
                <w:rFonts w:ascii="宋体" w:hAnsi="Times New Roman"/>
                <w:kern w:val="21"/>
                <w:sz w:val="18"/>
                <w:szCs w:val="18"/>
              </w:rPr>
            </w:pPr>
          </w:p>
        </w:tc>
        <w:tc>
          <w:tcPr>
            <w:tcW w:w="607" w:type="pct"/>
            <w:vAlign w:val="center"/>
          </w:tcPr>
          <w:p>
            <w:pPr>
              <w:adjustRightInd/>
              <w:spacing w:line="276" w:lineRule="auto"/>
              <w:ind w:firstLine="360"/>
              <w:jc w:val="center"/>
              <w:rPr>
                <w:rFonts w:ascii="宋体" w:hAnsi="Times New Roman"/>
                <w:kern w:val="21"/>
                <w:sz w:val="18"/>
                <w:szCs w:val="18"/>
              </w:rPr>
            </w:pPr>
          </w:p>
        </w:tc>
        <w:tc>
          <w:tcPr>
            <w:tcW w:w="684" w:type="pct"/>
            <w:vAlign w:val="center"/>
          </w:tcPr>
          <w:p>
            <w:pPr>
              <w:ind w:firstLine="360"/>
              <w:jc w:val="center"/>
              <w:rPr>
                <w:rFonts w:ascii="宋体" w:hAnsi="宋体" w:cs="宋体"/>
                <w:sz w:val="18"/>
                <w:szCs w:val="18"/>
              </w:rPr>
            </w:pPr>
          </w:p>
        </w:tc>
        <w:tc>
          <w:tcPr>
            <w:tcW w:w="683" w:type="pct"/>
            <w:vAlign w:val="center"/>
          </w:tcPr>
          <w:p>
            <w:pPr>
              <w:adjustRightInd/>
              <w:spacing w:line="276" w:lineRule="auto"/>
              <w:ind w:firstLine="360"/>
              <w:jc w:val="center"/>
              <w:rPr>
                <w:rFonts w:ascii="宋体" w:hAnsi="Times New Roman"/>
                <w:kern w:val="21"/>
                <w:sz w:val="18"/>
                <w:szCs w:val="18"/>
              </w:rPr>
            </w:pPr>
          </w:p>
        </w:tc>
        <w:tc>
          <w:tcPr>
            <w:tcW w:w="684" w:type="pct"/>
            <w:vAlign w:val="center"/>
          </w:tcPr>
          <w:p>
            <w:pPr>
              <w:adjustRightInd/>
              <w:spacing w:line="276" w:lineRule="auto"/>
              <w:ind w:firstLine="360"/>
              <w:jc w:val="center"/>
              <w:rPr>
                <w:rFonts w:ascii="宋体" w:hAnsi="Times New Roman"/>
                <w:kern w:val="21"/>
                <w:sz w:val="18"/>
                <w:szCs w:val="18"/>
              </w:rPr>
            </w:pPr>
          </w:p>
        </w:tc>
        <w:tc>
          <w:tcPr>
            <w:tcW w:w="828" w:type="pct"/>
            <w:vAlign w:val="center"/>
          </w:tcPr>
          <w:p>
            <w:pPr>
              <w:adjustRightInd/>
              <w:spacing w:line="276" w:lineRule="auto"/>
              <w:ind w:firstLine="360"/>
              <w:jc w:val="center"/>
              <w:rPr>
                <w:rFonts w:ascii="宋体" w:hAnsi="Times New Roman"/>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20" w:type="pct"/>
            <w:vMerge w:val="continue"/>
            <w:vAlign w:val="center"/>
          </w:tcPr>
          <w:p>
            <w:pPr>
              <w:adjustRightInd/>
              <w:spacing w:line="276" w:lineRule="auto"/>
              <w:ind w:firstLine="360"/>
              <w:rPr>
                <w:rFonts w:ascii="宋体" w:hAnsi="Times New Roman"/>
                <w:kern w:val="21"/>
                <w:sz w:val="18"/>
                <w:szCs w:val="18"/>
              </w:rPr>
            </w:pPr>
          </w:p>
        </w:tc>
        <w:tc>
          <w:tcPr>
            <w:tcW w:w="993" w:type="pct"/>
            <w:vAlign w:val="center"/>
          </w:tcPr>
          <w:p>
            <w:pPr>
              <w:adjustRightInd/>
              <w:spacing w:line="276" w:lineRule="auto"/>
              <w:ind w:firstLine="360"/>
              <w:jc w:val="center"/>
              <w:rPr>
                <w:rFonts w:ascii="宋体" w:hAnsi="Times New Roman"/>
                <w:kern w:val="21"/>
                <w:sz w:val="18"/>
                <w:szCs w:val="18"/>
              </w:rPr>
            </w:pPr>
          </w:p>
        </w:tc>
        <w:tc>
          <w:tcPr>
            <w:tcW w:w="607" w:type="pct"/>
            <w:vAlign w:val="center"/>
          </w:tcPr>
          <w:p>
            <w:pPr>
              <w:adjustRightInd/>
              <w:spacing w:line="276" w:lineRule="auto"/>
              <w:ind w:firstLine="360"/>
              <w:jc w:val="center"/>
              <w:rPr>
                <w:rFonts w:ascii="宋体" w:hAnsi="Times New Roman"/>
                <w:kern w:val="21"/>
                <w:sz w:val="18"/>
                <w:szCs w:val="18"/>
              </w:rPr>
            </w:pPr>
          </w:p>
        </w:tc>
        <w:tc>
          <w:tcPr>
            <w:tcW w:w="684" w:type="pct"/>
            <w:vAlign w:val="center"/>
          </w:tcPr>
          <w:p>
            <w:pPr>
              <w:ind w:firstLine="360"/>
              <w:jc w:val="center"/>
              <w:rPr>
                <w:rFonts w:ascii="宋体" w:hAnsi="宋体" w:cs="宋体"/>
                <w:sz w:val="18"/>
                <w:szCs w:val="18"/>
              </w:rPr>
            </w:pPr>
          </w:p>
        </w:tc>
        <w:tc>
          <w:tcPr>
            <w:tcW w:w="683" w:type="pct"/>
            <w:vAlign w:val="center"/>
          </w:tcPr>
          <w:p>
            <w:pPr>
              <w:adjustRightInd/>
              <w:spacing w:line="276" w:lineRule="auto"/>
              <w:ind w:firstLine="360"/>
              <w:jc w:val="center"/>
              <w:rPr>
                <w:rFonts w:ascii="宋体" w:hAnsi="Times New Roman"/>
                <w:kern w:val="21"/>
                <w:sz w:val="18"/>
                <w:szCs w:val="18"/>
              </w:rPr>
            </w:pPr>
          </w:p>
        </w:tc>
        <w:tc>
          <w:tcPr>
            <w:tcW w:w="684" w:type="pct"/>
            <w:vAlign w:val="center"/>
          </w:tcPr>
          <w:p>
            <w:pPr>
              <w:adjustRightInd/>
              <w:spacing w:line="276" w:lineRule="auto"/>
              <w:ind w:firstLine="360"/>
              <w:jc w:val="center"/>
              <w:rPr>
                <w:rFonts w:ascii="宋体" w:hAnsi="Times New Roman"/>
                <w:kern w:val="21"/>
                <w:sz w:val="18"/>
                <w:szCs w:val="18"/>
              </w:rPr>
            </w:pPr>
          </w:p>
        </w:tc>
        <w:tc>
          <w:tcPr>
            <w:tcW w:w="828" w:type="pct"/>
            <w:vAlign w:val="center"/>
          </w:tcPr>
          <w:p>
            <w:pPr>
              <w:adjustRightInd/>
              <w:spacing w:line="276" w:lineRule="auto"/>
              <w:ind w:firstLine="360"/>
              <w:jc w:val="center"/>
              <w:rPr>
                <w:rFonts w:ascii="宋体" w:hAnsi="Times New Roman"/>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20" w:type="pct"/>
            <w:vMerge w:val="continue"/>
            <w:vAlign w:val="center"/>
          </w:tcPr>
          <w:p>
            <w:pPr>
              <w:adjustRightInd/>
              <w:spacing w:line="276" w:lineRule="auto"/>
              <w:ind w:firstLine="360"/>
              <w:rPr>
                <w:rFonts w:ascii="宋体" w:hAnsi="Times New Roman"/>
                <w:kern w:val="21"/>
                <w:sz w:val="18"/>
                <w:szCs w:val="18"/>
              </w:rPr>
            </w:pPr>
          </w:p>
        </w:tc>
        <w:tc>
          <w:tcPr>
            <w:tcW w:w="993" w:type="pct"/>
            <w:vAlign w:val="center"/>
          </w:tcPr>
          <w:p>
            <w:pPr>
              <w:adjustRightInd/>
              <w:spacing w:line="276" w:lineRule="auto"/>
              <w:ind w:firstLine="360"/>
              <w:jc w:val="center"/>
              <w:rPr>
                <w:rFonts w:ascii="宋体" w:hAnsi="Times New Roman"/>
                <w:kern w:val="21"/>
                <w:sz w:val="18"/>
                <w:szCs w:val="18"/>
              </w:rPr>
            </w:pPr>
          </w:p>
        </w:tc>
        <w:tc>
          <w:tcPr>
            <w:tcW w:w="607" w:type="pct"/>
            <w:vAlign w:val="center"/>
          </w:tcPr>
          <w:p>
            <w:pPr>
              <w:adjustRightInd/>
              <w:spacing w:line="276" w:lineRule="auto"/>
              <w:ind w:firstLine="360"/>
              <w:jc w:val="center"/>
              <w:rPr>
                <w:rFonts w:ascii="宋体" w:hAnsi="Times New Roman"/>
                <w:kern w:val="21"/>
                <w:sz w:val="18"/>
                <w:szCs w:val="18"/>
              </w:rPr>
            </w:pPr>
          </w:p>
        </w:tc>
        <w:tc>
          <w:tcPr>
            <w:tcW w:w="684" w:type="pct"/>
            <w:vAlign w:val="center"/>
          </w:tcPr>
          <w:p>
            <w:pPr>
              <w:ind w:firstLine="360"/>
              <w:jc w:val="center"/>
              <w:rPr>
                <w:rFonts w:ascii="宋体" w:hAnsi="宋体" w:cs="宋体"/>
                <w:sz w:val="18"/>
                <w:szCs w:val="18"/>
              </w:rPr>
            </w:pPr>
          </w:p>
        </w:tc>
        <w:tc>
          <w:tcPr>
            <w:tcW w:w="683" w:type="pct"/>
            <w:vAlign w:val="center"/>
          </w:tcPr>
          <w:p>
            <w:pPr>
              <w:adjustRightInd/>
              <w:spacing w:line="276" w:lineRule="auto"/>
              <w:ind w:firstLine="360"/>
              <w:jc w:val="center"/>
              <w:rPr>
                <w:rFonts w:ascii="宋体" w:hAnsi="Times New Roman"/>
                <w:kern w:val="21"/>
                <w:sz w:val="18"/>
                <w:szCs w:val="18"/>
              </w:rPr>
            </w:pPr>
          </w:p>
        </w:tc>
        <w:tc>
          <w:tcPr>
            <w:tcW w:w="684" w:type="pct"/>
            <w:vAlign w:val="center"/>
          </w:tcPr>
          <w:p>
            <w:pPr>
              <w:adjustRightInd/>
              <w:spacing w:line="276" w:lineRule="auto"/>
              <w:ind w:firstLine="360"/>
              <w:jc w:val="center"/>
              <w:rPr>
                <w:rFonts w:ascii="宋体" w:hAnsi="Times New Roman"/>
                <w:kern w:val="21"/>
                <w:sz w:val="18"/>
                <w:szCs w:val="18"/>
              </w:rPr>
            </w:pPr>
          </w:p>
        </w:tc>
        <w:tc>
          <w:tcPr>
            <w:tcW w:w="828" w:type="pct"/>
            <w:vAlign w:val="center"/>
          </w:tcPr>
          <w:p>
            <w:pPr>
              <w:adjustRightInd/>
              <w:spacing w:line="276" w:lineRule="auto"/>
              <w:ind w:firstLine="360"/>
              <w:jc w:val="center"/>
              <w:rPr>
                <w:rFonts w:ascii="宋体" w:hAnsi="Times New Roman"/>
                <w:kern w:val="21"/>
                <w:sz w:val="18"/>
                <w:szCs w:val="18"/>
              </w:rPr>
            </w:pPr>
          </w:p>
        </w:tc>
      </w:tr>
    </w:tbl>
    <w:p>
      <w:pPr>
        <w:pStyle w:val="58"/>
        <w:ind w:firstLine="420"/>
      </w:pPr>
    </w:p>
    <w:p>
      <w:pPr>
        <w:pStyle w:val="79"/>
        <w:spacing w:before="156" w:after="156"/>
      </w:pPr>
      <w:r>
        <w:rPr>
          <w:rFonts w:hint="eastAsia"/>
        </w:rPr>
        <w:t>能源</w:t>
      </w:r>
      <w:r>
        <w:t>消耗表格示例</w:t>
      </w:r>
    </w:p>
    <w:tbl>
      <w:tblPr>
        <w:tblStyle w:val="23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871"/>
        <w:gridCol w:w="1013"/>
        <w:gridCol w:w="1018"/>
        <w:gridCol w:w="1889"/>
        <w:gridCol w:w="1891"/>
        <w:gridCol w:w="18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30" w:type="pct"/>
            <w:vAlign w:val="center"/>
          </w:tcPr>
          <w:p>
            <w:pPr>
              <w:adjustRightInd/>
              <w:spacing w:line="276" w:lineRule="auto"/>
              <w:ind w:firstLine="360"/>
              <w:rPr>
                <w:rFonts w:ascii="宋体" w:hAnsi="Times New Roman"/>
                <w:kern w:val="21"/>
                <w:sz w:val="18"/>
                <w:szCs w:val="18"/>
              </w:rPr>
            </w:pPr>
          </w:p>
        </w:tc>
        <w:tc>
          <w:tcPr>
            <w:tcW w:w="455" w:type="pct"/>
            <w:vAlign w:val="center"/>
          </w:tcPr>
          <w:p>
            <w:pPr>
              <w:adjustRightInd/>
              <w:spacing w:line="276" w:lineRule="auto"/>
              <w:ind w:firstLine="90" w:firstLineChars="50"/>
              <w:rPr>
                <w:rFonts w:ascii="宋体" w:hAnsi="Times New Roman"/>
                <w:kern w:val="21"/>
                <w:sz w:val="18"/>
                <w:szCs w:val="18"/>
              </w:rPr>
            </w:pPr>
            <w:r>
              <w:rPr>
                <w:rFonts w:hint="eastAsia" w:ascii="宋体" w:hAnsi="Times New Roman"/>
                <w:kern w:val="21"/>
                <w:sz w:val="18"/>
                <w:szCs w:val="18"/>
              </w:rPr>
              <w:t>项目</w:t>
            </w:r>
          </w:p>
        </w:tc>
        <w:tc>
          <w:tcPr>
            <w:tcW w:w="529" w:type="pct"/>
            <w:vAlign w:val="center"/>
          </w:tcPr>
          <w:p>
            <w:pPr>
              <w:adjustRightInd/>
              <w:spacing w:line="276" w:lineRule="auto"/>
              <w:ind w:firstLine="90" w:firstLineChars="50"/>
              <w:rPr>
                <w:rFonts w:ascii="宋体" w:hAnsi="Times New Roman"/>
                <w:kern w:val="21"/>
                <w:sz w:val="18"/>
                <w:szCs w:val="18"/>
              </w:rPr>
            </w:pPr>
            <w:r>
              <w:rPr>
                <w:rFonts w:hint="eastAsia" w:ascii="宋体" w:hAnsi="Times New Roman"/>
                <w:kern w:val="21"/>
                <w:sz w:val="18"/>
                <w:szCs w:val="18"/>
              </w:rPr>
              <w:t>消耗量</w:t>
            </w:r>
          </w:p>
        </w:tc>
        <w:tc>
          <w:tcPr>
            <w:tcW w:w="532" w:type="pct"/>
            <w:vAlign w:val="center"/>
          </w:tcPr>
          <w:p>
            <w:pPr>
              <w:adjustRightInd/>
              <w:spacing w:line="276" w:lineRule="auto"/>
              <w:ind w:firstLine="180" w:firstLineChars="100"/>
              <w:rPr>
                <w:rFonts w:ascii="宋体" w:hAnsi="Times New Roman"/>
                <w:kern w:val="21"/>
                <w:sz w:val="18"/>
                <w:szCs w:val="18"/>
              </w:rPr>
            </w:pPr>
            <w:r>
              <w:rPr>
                <w:rFonts w:hint="eastAsia" w:ascii="宋体" w:hAnsi="Times New Roman"/>
                <w:kern w:val="21"/>
                <w:sz w:val="18"/>
                <w:szCs w:val="18"/>
              </w:rPr>
              <w:t>单位</w:t>
            </w:r>
          </w:p>
        </w:tc>
        <w:tc>
          <w:tcPr>
            <w:tcW w:w="987" w:type="pct"/>
            <w:vAlign w:val="center"/>
          </w:tcPr>
          <w:p>
            <w:pPr>
              <w:adjustRightInd/>
              <w:spacing w:line="276" w:lineRule="auto"/>
              <w:ind w:firstLine="450" w:firstLineChars="250"/>
              <w:rPr>
                <w:rFonts w:ascii="宋体" w:hAnsi="Times New Roman"/>
                <w:kern w:val="21"/>
                <w:sz w:val="18"/>
                <w:szCs w:val="18"/>
              </w:rPr>
            </w:pPr>
            <w:r>
              <w:rPr>
                <w:rFonts w:ascii="宋体" w:hAnsi="Times New Roman"/>
                <w:kern w:val="21"/>
                <w:sz w:val="18"/>
                <w:szCs w:val="18"/>
              </w:rPr>
              <w:t>总重量</w:t>
            </w:r>
          </w:p>
          <w:p>
            <w:pPr>
              <w:adjustRightInd/>
              <w:spacing w:line="276" w:lineRule="auto"/>
              <w:ind w:firstLine="270" w:firstLineChars="150"/>
              <w:rPr>
                <w:rFonts w:ascii="宋体" w:hAnsi="Times New Roman"/>
                <w:kern w:val="21"/>
                <w:sz w:val="18"/>
                <w:szCs w:val="18"/>
              </w:rPr>
            </w:pPr>
            <w:r>
              <w:rPr>
                <w:rFonts w:ascii="宋体" w:hAnsi="Times New Roman"/>
                <w:kern w:val="21"/>
                <w:sz w:val="18"/>
                <w:szCs w:val="18"/>
              </w:rPr>
              <w:t>Kg</w:t>
            </w:r>
            <w:r>
              <w:rPr>
                <w:rFonts w:hint="eastAsia" w:ascii="宋体" w:hAnsi="Times New Roman"/>
                <w:kern w:val="21"/>
                <w:sz w:val="18"/>
                <w:szCs w:val="18"/>
              </w:rPr>
              <w:t>（如涉及）</w:t>
            </w:r>
          </w:p>
        </w:tc>
        <w:tc>
          <w:tcPr>
            <w:tcW w:w="988" w:type="pct"/>
            <w:vAlign w:val="center"/>
          </w:tcPr>
          <w:p>
            <w:pPr>
              <w:adjustRightInd/>
              <w:spacing w:line="276" w:lineRule="auto"/>
              <w:rPr>
                <w:rFonts w:ascii="宋体" w:hAnsi="Times New Roman"/>
                <w:kern w:val="21"/>
                <w:sz w:val="18"/>
                <w:szCs w:val="18"/>
              </w:rPr>
            </w:pPr>
            <w:r>
              <w:rPr>
                <w:rFonts w:hint="eastAsia" w:ascii="宋体" w:hAnsi="Times New Roman"/>
                <w:kern w:val="21"/>
                <w:sz w:val="18"/>
                <w:szCs w:val="18"/>
              </w:rPr>
              <w:t>运输方式（如涉及）</w:t>
            </w:r>
          </w:p>
        </w:tc>
        <w:tc>
          <w:tcPr>
            <w:tcW w:w="979" w:type="pct"/>
            <w:vAlign w:val="center"/>
          </w:tcPr>
          <w:p>
            <w:pPr>
              <w:adjustRightInd/>
              <w:spacing w:line="276" w:lineRule="auto"/>
              <w:ind w:firstLine="360"/>
              <w:rPr>
                <w:rFonts w:ascii="宋体" w:hAnsi="Times New Roman"/>
                <w:kern w:val="21"/>
                <w:sz w:val="18"/>
                <w:szCs w:val="18"/>
              </w:rPr>
            </w:pPr>
            <w:r>
              <w:rPr>
                <w:rFonts w:hint="eastAsia" w:ascii="宋体" w:hAnsi="Times New Roman"/>
                <w:kern w:val="21"/>
                <w:sz w:val="18"/>
                <w:szCs w:val="18"/>
              </w:rPr>
              <w:t>运输距离</w:t>
            </w:r>
          </w:p>
          <w:p>
            <w:pPr>
              <w:adjustRightInd/>
              <w:spacing w:line="276" w:lineRule="auto"/>
              <w:ind w:firstLine="270" w:firstLineChars="150"/>
              <w:rPr>
                <w:rFonts w:ascii="宋体" w:hAnsi="Times New Roman"/>
                <w:kern w:val="21"/>
                <w:sz w:val="18"/>
                <w:szCs w:val="18"/>
              </w:rPr>
            </w:pPr>
            <w:r>
              <w:rPr>
                <w:rFonts w:hint="eastAsia" w:ascii="宋体" w:hAnsi="Times New Roman"/>
                <w:kern w:val="21"/>
                <w:sz w:val="18"/>
                <w:szCs w:val="18"/>
              </w:rPr>
              <w:t>km（如涉及）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30" w:type="pct"/>
            <w:vMerge w:val="restart"/>
            <w:vAlign w:val="center"/>
          </w:tcPr>
          <w:p>
            <w:pPr>
              <w:adjustRightInd/>
              <w:spacing w:line="276" w:lineRule="auto"/>
              <w:rPr>
                <w:rFonts w:ascii="宋体" w:hAnsi="Times New Roman"/>
                <w:kern w:val="21"/>
                <w:sz w:val="18"/>
                <w:szCs w:val="18"/>
              </w:rPr>
            </w:pPr>
            <w:r>
              <w:rPr>
                <w:rFonts w:hint="eastAsia" w:ascii="宋体" w:hAnsi="Times New Roman"/>
                <w:kern w:val="21"/>
                <w:sz w:val="18"/>
                <w:szCs w:val="18"/>
              </w:rPr>
              <w:t>能源消耗</w:t>
            </w:r>
          </w:p>
        </w:tc>
        <w:tc>
          <w:tcPr>
            <w:tcW w:w="455" w:type="pct"/>
            <w:vAlign w:val="center"/>
          </w:tcPr>
          <w:p>
            <w:pPr>
              <w:adjustRightInd/>
              <w:spacing w:line="276" w:lineRule="auto"/>
              <w:ind w:firstLine="180" w:firstLineChars="100"/>
              <w:rPr>
                <w:rFonts w:ascii="宋体" w:hAnsi="Times New Roman"/>
                <w:kern w:val="21"/>
                <w:sz w:val="18"/>
                <w:szCs w:val="18"/>
              </w:rPr>
            </w:pPr>
            <w:r>
              <w:rPr>
                <w:rFonts w:hint="eastAsia" w:ascii="宋体" w:hAnsi="Times New Roman"/>
                <w:kern w:val="21"/>
                <w:sz w:val="18"/>
                <w:szCs w:val="18"/>
              </w:rPr>
              <w:t>电</w:t>
            </w:r>
          </w:p>
        </w:tc>
        <w:tc>
          <w:tcPr>
            <w:tcW w:w="529" w:type="pct"/>
            <w:vAlign w:val="center"/>
          </w:tcPr>
          <w:p>
            <w:pPr>
              <w:adjustRightInd/>
              <w:spacing w:line="276" w:lineRule="auto"/>
              <w:ind w:firstLine="360"/>
              <w:jc w:val="center"/>
              <w:rPr>
                <w:rFonts w:ascii="宋体" w:hAnsi="Times New Roman"/>
                <w:kern w:val="21"/>
                <w:sz w:val="18"/>
                <w:szCs w:val="18"/>
              </w:rPr>
            </w:pPr>
          </w:p>
        </w:tc>
        <w:tc>
          <w:tcPr>
            <w:tcW w:w="532" w:type="pct"/>
            <w:vAlign w:val="center"/>
          </w:tcPr>
          <w:p>
            <w:pPr>
              <w:adjustRightInd/>
              <w:spacing w:line="276" w:lineRule="auto"/>
              <w:ind w:firstLine="360"/>
              <w:jc w:val="center"/>
              <w:rPr>
                <w:rFonts w:ascii="宋体" w:hAnsi="Times New Roman"/>
                <w:kern w:val="21"/>
                <w:sz w:val="18"/>
                <w:szCs w:val="18"/>
              </w:rPr>
            </w:pPr>
          </w:p>
        </w:tc>
        <w:tc>
          <w:tcPr>
            <w:tcW w:w="987" w:type="pct"/>
            <w:vAlign w:val="center"/>
          </w:tcPr>
          <w:p>
            <w:pPr>
              <w:adjustRightInd/>
              <w:spacing w:line="276" w:lineRule="auto"/>
              <w:ind w:firstLine="360"/>
              <w:jc w:val="center"/>
              <w:rPr>
                <w:rFonts w:ascii="宋体" w:hAnsi="Times New Roman"/>
                <w:kern w:val="21"/>
                <w:sz w:val="18"/>
                <w:szCs w:val="18"/>
              </w:rPr>
            </w:pPr>
          </w:p>
        </w:tc>
        <w:tc>
          <w:tcPr>
            <w:tcW w:w="988" w:type="pct"/>
            <w:vAlign w:val="center"/>
          </w:tcPr>
          <w:p>
            <w:pPr>
              <w:adjustRightInd/>
              <w:spacing w:line="276" w:lineRule="auto"/>
              <w:ind w:firstLine="360"/>
              <w:jc w:val="center"/>
              <w:rPr>
                <w:rFonts w:ascii="宋体" w:hAnsi="Times New Roman"/>
                <w:kern w:val="21"/>
                <w:sz w:val="18"/>
                <w:szCs w:val="18"/>
              </w:rPr>
            </w:pPr>
          </w:p>
        </w:tc>
        <w:tc>
          <w:tcPr>
            <w:tcW w:w="979" w:type="pct"/>
            <w:vAlign w:val="center"/>
          </w:tcPr>
          <w:p>
            <w:pPr>
              <w:adjustRightInd/>
              <w:spacing w:line="276" w:lineRule="auto"/>
              <w:ind w:firstLine="360"/>
              <w:jc w:val="center"/>
              <w:rPr>
                <w:rFonts w:ascii="宋体" w:hAnsi="Times New Roman"/>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30" w:type="pct"/>
            <w:vMerge w:val="continue"/>
            <w:vAlign w:val="center"/>
          </w:tcPr>
          <w:p>
            <w:pPr>
              <w:adjustRightInd/>
              <w:spacing w:line="276" w:lineRule="auto"/>
              <w:ind w:firstLine="360"/>
              <w:rPr>
                <w:rFonts w:ascii="宋体" w:hAnsi="Times New Roman"/>
                <w:kern w:val="21"/>
                <w:sz w:val="18"/>
                <w:szCs w:val="18"/>
              </w:rPr>
            </w:pPr>
          </w:p>
        </w:tc>
        <w:tc>
          <w:tcPr>
            <w:tcW w:w="455" w:type="pct"/>
            <w:vAlign w:val="center"/>
          </w:tcPr>
          <w:p>
            <w:pPr>
              <w:adjustRightInd/>
              <w:spacing w:line="276" w:lineRule="auto"/>
              <w:ind w:firstLine="90" w:firstLineChars="50"/>
              <w:rPr>
                <w:rFonts w:ascii="宋体" w:hAnsi="Times New Roman"/>
                <w:kern w:val="21"/>
                <w:sz w:val="18"/>
                <w:szCs w:val="18"/>
              </w:rPr>
            </w:pPr>
            <w:r>
              <w:rPr>
                <w:rFonts w:hint="eastAsia" w:ascii="宋体" w:hAnsi="Times New Roman"/>
                <w:kern w:val="21"/>
                <w:sz w:val="18"/>
                <w:szCs w:val="18"/>
              </w:rPr>
              <w:t>燃料</w:t>
            </w:r>
          </w:p>
        </w:tc>
        <w:tc>
          <w:tcPr>
            <w:tcW w:w="529" w:type="pct"/>
            <w:vAlign w:val="center"/>
          </w:tcPr>
          <w:p>
            <w:pPr>
              <w:adjustRightInd/>
              <w:spacing w:line="276" w:lineRule="auto"/>
              <w:ind w:firstLine="360"/>
              <w:jc w:val="center"/>
              <w:rPr>
                <w:rFonts w:ascii="宋体" w:hAnsi="Times New Roman"/>
                <w:kern w:val="21"/>
                <w:sz w:val="18"/>
                <w:szCs w:val="18"/>
              </w:rPr>
            </w:pPr>
          </w:p>
        </w:tc>
        <w:tc>
          <w:tcPr>
            <w:tcW w:w="532" w:type="pct"/>
            <w:vAlign w:val="center"/>
          </w:tcPr>
          <w:p>
            <w:pPr>
              <w:adjustRightInd/>
              <w:spacing w:line="276" w:lineRule="auto"/>
              <w:ind w:firstLine="360"/>
              <w:jc w:val="center"/>
              <w:rPr>
                <w:rFonts w:ascii="宋体" w:hAnsi="Times New Roman"/>
                <w:kern w:val="21"/>
                <w:sz w:val="18"/>
                <w:szCs w:val="18"/>
              </w:rPr>
            </w:pPr>
          </w:p>
        </w:tc>
        <w:tc>
          <w:tcPr>
            <w:tcW w:w="987" w:type="pct"/>
            <w:vAlign w:val="center"/>
          </w:tcPr>
          <w:p>
            <w:pPr>
              <w:adjustRightInd/>
              <w:spacing w:line="276" w:lineRule="auto"/>
              <w:ind w:firstLine="360"/>
              <w:jc w:val="center"/>
              <w:rPr>
                <w:rFonts w:ascii="宋体" w:hAnsi="Times New Roman"/>
                <w:kern w:val="21"/>
                <w:sz w:val="18"/>
                <w:szCs w:val="18"/>
              </w:rPr>
            </w:pPr>
          </w:p>
        </w:tc>
        <w:tc>
          <w:tcPr>
            <w:tcW w:w="988" w:type="pct"/>
            <w:vAlign w:val="center"/>
          </w:tcPr>
          <w:p>
            <w:pPr>
              <w:adjustRightInd/>
              <w:spacing w:line="276" w:lineRule="auto"/>
              <w:ind w:firstLine="360"/>
              <w:jc w:val="center"/>
              <w:rPr>
                <w:rFonts w:ascii="宋体" w:hAnsi="Times New Roman"/>
                <w:kern w:val="21"/>
                <w:sz w:val="18"/>
                <w:szCs w:val="18"/>
              </w:rPr>
            </w:pPr>
          </w:p>
        </w:tc>
        <w:tc>
          <w:tcPr>
            <w:tcW w:w="979" w:type="pct"/>
            <w:vAlign w:val="center"/>
          </w:tcPr>
          <w:p>
            <w:pPr>
              <w:adjustRightInd/>
              <w:spacing w:line="276" w:lineRule="auto"/>
              <w:ind w:firstLine="360"/>
              <w:jc w:val="center"/>
              <w:rPr>
                <w:rFonts w:ascii="宋体" w:hAnsi="Times New Roman"/>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30" w:type="pct"/>
            <w:vMerge w:val="continue"/>
            <w:vAlign w:val="center"/>
          </w:tcPr>
          <w:p>
            <w:pPr>
              <w:adjustRightInd/>
              <w:spacing w:line="276" w:lineRule="auto"/>
              <w:ind w:firstLine="360"/>
              <w:rPr>
                <w:rFonts w:ascii="宋体" w:hAnsi="Times New Roman"/>
                <w:kern w:val="21"/>
                <w:sz w:val="18"/>
                <w:szCs w:val="18"/>
              </w:rPr>
            </w:pPr>
          </w:p>
        </w:tc>
        <w:tc>
          <w:tcPr>
            <w:tcW w:w="455" w:type="pct"/>
            <w:vAlign w:val="center"/>
          </w:tcPr>
          <w:p>
            <w:pPr>
              <w:adjustRightInd/>
              <w:spacing w:line="276" w:lineRule="auto"/>
              <w:ind w:firstLine="180" w:firstLineChars="100"/>
              <w:rPr>
                <w:rFonts w:ascii="宋体" w:hAnsi="Times New Roman"/>
                <w:kern w:val="21"/>
                <w:sz w:val="18"/>
                <w:szCs w:val="18"/>
              </w:rPr>
            </w:pPr>
            <w:r>
              <w:rPr>
                <w:rFonts w:ascii="宋体" w:hAnsi="Times New Roman"/>
                <w:kern w:val="21"/>
                <w:sz w:val="18"/>
                <w:szCs w:val="18"/>
              </w:rPr>
              <w:t>…</w:t>
            </w:r>
          </w:p>
        </w:tc>
        <w:tc>
          <w:tcPr>
            <w:tcW w:w="529" w:type="pct"/>
            <w:vAlign w:val="center"/>
          </w:tcPr>
          <w:p>
            <w:pPr>
              <w:adjustRightInd/>
              <w:spacing w:line="276" w:lineRule="auto"/>
              <w:ind w:firstLine="360"/>
              <w:jc w:val="center"/>
              <w:rPr>
                <w:rFonts w:ascii="宋体" w:hAnsi="Times New Roman"/>
                <w:kern w:val="21"/>
                <w:sz w:val="18"/>
                <w:szCs w:val="18"/>
              </w:rPr>
            </w:pPr>
          </w:p>
        </w:tc>
        <w:tc>
          <w:tcPr>
            <w:tcW w:w="532" w:type="pct"/>
            <w:vAlign w:val="center"/>
          </w:tcPr>
          <w:p>
            <w:pPr>
              <w:adjustRightInd/>
              <w:spacing w:line="276" w:lineRule="auto"/>
              <w:ind w:firstLine="360"/>
              <w:jc w:val="center"/>
              <w:rPr>
                <w:rFonts w:ascii="宋体" w:hAnsi="Times New Roman"/>
                <w:kern w:val="21"/>
                <w:sz w:val="18"/>
                <w:szCs w:val="18"/>
              </w:rPr>
            </w:pPr>
          </w:p>
        </w:tc>
        <w:tc>
          <w:tcPr>
            <w:tcW w:w="987" w:type="pct"/>
            <w:vAlign w:val="center"/>
          </w:tcPr>
          <w:p>
            <w:pPr>
              <w:adjustRightInd/>
              <w:spacing w:line="276" w:lineRule="auto"/>
              <w:ind w:firstLine="360"/>
              <w:jc w:val="center"/>
              <w:rPr>
                <w:rFonts w:ascii="宋体" w:hAnsi="Times New Roman"/>
                <w:kern w:val="21"/>
                <w:sz w:val="18"/>
                <w:szCs w:val="18"/>
              </w:rPr>
            </w:pPr>
          </w:p>
        </w:tc>
        <w:tc>
          <w:tcPr>
            <w:tcW w:w="988" w:type="pct"/>
            <w:vAlign w:val="center"/>
          </w:tcPr>
          <w:p>
            <w:pPr>
              <w:adjustRightInd/>
              <w:spacing w:line="276" w:lineRule="auto"/>
              <w:ind w:firstLine="360"/>
              <w:jc w:val="center"/>
              <w:rPr>
                <w:rFonts w:ascii="宋体" w:hAnsi="Times New Roman"/>
                <w:kern w:val="21"/>
                <w:sz w:val="18"/>
                <w:szCs w:val="18"/>
              </w:rPr>
            </w:pPr>
          </w:p>
        </w:tc>
        <w:tc>
          <w:tcPr>
            <w:tcW w:w="979" w:type="pct"/>
            <w:vAlign w:val="center"/>
          </w:tcPr>
          <w:p>
            <w:pPr>
              <w:adjustRightInd/>
              <w:spacing w:line="276" w:lineRule="auto"/>
              <w:ind w:firstLine="360"/>
              <w:jc w:val="center"/>
              <w:rPr>
                <w:rFonts w:ascii="宋体" w:hAnsi="Times New Roman"/>
                <w:kern w:val="21"/>
                <w:sz w:val="18"/>
                <w:szCs w:val="18"/>
              </w:rPr>
            </w:pPr>
          </w:p>
        </w:tc>
      </w:tr>
    </w:tbl>
    <w:p>
      <w:pPr>
        <w:pStyle w:val="79"/>
        <w:spacing w:before="156" w:after="156"/>
      </w:pPr>
      <w:r>
        <w:rPr>
          <w:rFonts w:hint="eastAsia"/>
        </w:rPr>
        <w:t>温室</w:t>
      </w:r>
      <w:r>
        <w:t>气体直接排放表格示例</w:t>
      </w:r>
    </w:p>
    <w:tbl>
      <w:tblPr>
        <w:tblStyle w:val="233"/>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1406"/>
        <w:gridCol w:w="71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8" w:type="pct"/>
            <w:tcBorders>
              <w:bottom w:val="single" w:color="auto" w:sz="4" w:space="0"/>
            </w:tcBorders>
            <w:vAlign w:val="center"/>
          </w:tcPr>
          <w:p>
            <w:pPr>
              <w:adjustRightInd/>
              <w:spacing w:line="276" w:lineRule="auto"/>
              <w:ind w:firstLine="360"/>
              <w:rPr>
                <w:rFonts w:ascii="宋体" w:hAnsi="Times New Roman"/>
                <w:kern w:val="21"/>
                <w:sz w:val="18"/>
                <w:szCs w:val="18"/>
              </w:rPr>
            </w:pPr>
          </w:p>
        </w:tc>
        <w:tc>
          <w:tcPr>
            <w:tcW w:w="735" w:type="pct"/>
            <w:vAlign w:val="center"/>
          </w:tcPr>
          <w:p>
            <w:pPr>
              <w:adjustRightInd/>
              <w:spacing w:line="276" w:lineRule="auto"/>
              <w:ind w:firstLine="360"/>
              <w:rPr>
                <w:rFonts w:ascii="宋体" w:hAnsi="Times New Roman"/>
                <w:kern w:val="21"/>
                <w:sz w:val="18"/>
                <w:szCs w:val="18"/>
              </w:rPr>
            </w:pPr>
            <w:r>
              <w:rPr>
                <w:rFonts w:hint="eastAsia" w:ascii="宋体" w:hAnsi="Times New Roman"/>
                <w:kern w:val="21"/>
                <w:sz w:val="18"/>
                <w:szCs w:val="18"/>
              </w:rPr>
              <w:t>种类</w:t>
            </w:r>
          </w:p>
        </w:tc>
        <w:tc>
          <w:tcPr>
            <w:tcW w:w="3737" w:type="pct"/>
            <w:vAlign w:val="center"/>
          </w:tcPr>
          <w:p>
            <w:pPr>
              <w:adjustRightInd/>
              <w:spacing w:line="276" w:lineRule="auto"/>
              <w:ind w:firstLine="3060" w:firstLineChars="1700"/>
              <w:rPr>
                <w:rFonts w:ascii="宋体" w:hAnsi="Times New Roman"/>
                <w:kern w:val="21"/>
                <w:sz w:val="18"/>
                <w:szCs w:val="18"/>
              </w:rPr>
            </w:pPr>
            <w:r>
              <w:rPr>
                <w:rFonts w:hint="eastAsia" w:ascii="宋体" w:hAnsi="Times New Roman"/>
                <w:kern w:val="21"/>
                <w:sz w:val="18"/>
                <w:szCs w:val="18"/>
              </w:rPr>
              <w:t>排放</w:t>
            </w:r>
            <w:r>
              <w:rPr>
                <w:rFonts w:ascii="宋体" w:hAnsi="Times New Roman"/>
                <w:kern w:val="21"/>
                <w:sz w:val="18"/>
                <w:szCs w:val="18"/>
              </w:rPr>
              <w:t>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8" w:type="pct"/>
            <w:vMerge w:val="restart"/>
            <w:tcBorders>
              <w:top w:val="single" w:color="auto" w:sz="4" w:space="0"/>
              <w:left w:val="single" w:color="auto" w:sz="4" w:space="0"/>
              <w:bottom w:val="single" w:color="auto" w:sz="4" w:space="0"/>
            </w:tcBorders>
            <w:vAlign w:val="center"/>
          </w:tcPr>
          <w:p>
            <w:pPr>
              <w:adjustRightInd/>
              <w:spacing w:line="276" w:lineRule="auto"/>
              <w:rPr>
                <w:rFonts w:ascii="宋体" w:hAnsi="Times New Roman"/>
                <w:kern w:val="21"/>
                <w:sz w:val="18"/>
                <w:szCs w:val="18"/>
              </w:rPr>
            </w:pPr>
            <w:r>
              <w:rPr>
                <w:rFonts w:hint="eastAsia" w:ascii="宋体" w:hAnsi="Times New Roman"/>
                <w:kern w:val="21"/>
                <w:sz w:val="18"/>
                <w:szCs w:val="18"/>
              </w:rPr>
              <w:t>温室气体直接排放</w:t>
            </w:r>
          </w:p>
        </w:tc>
        <w:tc>
          <w:tcPr>
            <w:tcW w:w="735" w:type="pct"/>
            <w:vAlign w:val="center"/>
          </w:tcPr>
          <w:p>
            <w:pPr>
              <w:adjustRightInd/>
              <w:spacing w:line="276" w:lineRule="auto"/>
              <w:ind w:firstLine="180" w:firstLineChars="100"/>
              <w:rPr>
                <w:rFonts w:ascii="宋体" w:hAnsi="Times New Roman"/>
                <w:kern w:val="21"/>
                <w:sz w:val="18"/>
                <w:szCs w:val="18"/>
              </w:rPr>
            </w:pPr>
            <w:r>
              <w:rPr>
                <w:rFonts w:hint="eastAsia" w:ascii="宋体" w:hAnsi="Times New Roman"/>
                <w:kern w:val="21"/>
                <w:sz w:val="18"/>
                <w:szCs w:val="18"/>
              </w:rPr>
              <w:t>二氧化碳</w:t>
            </w:r>
          </w:p>
        </w:tc>
        <w:tc>
          <w:tcPr>
            <w:tcW w:w="3737" w:type="pct"/>
            <w:vAlign w:val="center"/>
          </w:tcPr>
          <w:p>
            <w:pPr>
              <w:adjustRightInd/>
              <w:spacing w:line="276" w:lineRule="auto"/>
              <w:ind w:firstLine="360"/>
              <w:jc w:val="center"/>
              <w:rPr>
                <w:rFonts w:ascii="宋体" w:hAnsi="Times New Roman"/>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8" w:type="pct"/>
            <w:vMerge w:val="continue"/>
            <w:tcBorders>
              <w:top w:val="single" w:color="auto" w:sz="4" w:space="0"/>
              <w:left w:val="single" w:color="auto" w:sz="4" w:space="0"/>
              <w:bottom w:val="single" w:color="auto" w:sz="4" w:space="0"/>
            </w:tcBorders>
            <w:vAlign w:val="center"/>
          </w:tcPr>
          <w:p>
            <w:pPr>
              <w:adjustRightInd/>
              <w:spacing w:line="276" w:lineRule="auto"/>
              <w:ind w:firstLine="360"/>
              <w:rPr>
                <w:rFonts w:ascii="宋体" w:hAnsi="Times New Roman"/>
                <w:kern w:val="21"/>
                <w:sz w:val="18"/>
                <w:szCs w:val="18"/>
              </w:rPr>
            </w:pPr>
          </w:p>
        </w:tc>
        <w:tc>
          <w:tcPr>
            <w:tcW w:w="735" w:type="pct"/>
            <w:vAlign w:val="center"/>
          </w:tcPr>
          <w:p>
            <w:pPr>
              <w:adjustRightInd/>
              <w:spacing w:line="276" w:lineRule="auto"/>
              <w:ind w:firstLine="360"/>
              <w:rPr>
                <w:rFonts w:ascii="宋体" w:hAnsi="Times New Roman"/>
                <w:kern w:val="21"/>
                <w:sz w:val="18"/>
                <w:szCs w:val="18"/>
              </w:rPr>
            </w:pPr>
            <w:r>
              <w:rPr>
                <w:rFonts w:ascii="宋体" w:hAnsi="Times New Roman"/>
                <w:kern w:val="21"/>
                <w:sz w:val="18"/>
                <w:szCs w:val="18"/>
              </w:rPr>
              <w:t>…</w:t>
            </w:r>
          </w:p>
        </w:tc>
        <w:tc>
          <w:tcPr>
            <w:tcW w:w="3737" w:type="pct"/>
            <w:vAlign w:val="center"/>
          </w:tcPr>
          <w:p>
            <w:pPr>
              <w:adjustRightInd/>
              <w:spacing w:line="276" w:lineRule="auto"/>
              <w:ind w:firstLine="360"/>
              <w:jc w:val="center"/>
              <w:rPr>
                <w:rFonts w:ascii="宋体" w:hAnsi="Times New Roman"/>
                <w:kern w:val="21"/>
                <w:sz w:val="18"/>
                <w:szCs w:val="18"/>
              </w:rPr>
            </w:pPr>
          </w:p>
        </w:tc>
      </w:tr>
    </w:tbl>
    <w:p>
      <w:pPr>
        <w:pStyle w:val="79"/>
        <w:spacing w:before="156" w:after="156"/>
      </w:pPr>
      <w:r>
        <w:rPr>
          <w:rFonts w:hint="eastAsia"/>
        </w:rPr>
        <w:t>三废</w:t>
      </w:r>
      <w:r>
        <w:t>数据收集表格示例</w:t>
      </w:r>
    </w:p>
    <w:tbl>
      <w:tblPr>
        <w:tblStyle w:val="23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086"/>
        <w:gridCol w:w="919"/>
        <w:gridCol w:w="982"/>
        <w:gridCol w:w="1527"/>
        <w:gridCol w:w="2111"/>
        <w:gridCol w:w="19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90" w:type="pct"/>
            <w:vAlign w:val="center"/>
          </w:tcPr>
          <w:p>
            <w:pPr>
              <w:adjustRightInd/>
              <w:spacing w:line="276" w:lineRule="auto"/>
              <w:ind w:firstLine="360"/>
              <w:jc w:val="center"/>
              <w:rPr>
                <w:rFonts w:ascii="宋体" w:hAnsi="Times New Roman"/>
                <w:kern w:val="21"/>
                <w:sz w:val="18"/>
                <w:szCs w:val="18"/>
              </w:rPr>
            </w:pPr>
            <w:r>
              <w:rPr>
                <w:rFonts w:hint="eastAsia" w:ascii="宋体" w:hAnsi="Times New Roman"/>
                <w:kern w:val="21"/>
                <w:sz w:val="18"/>
                <w:szCs w:val="18"/>
              </w:rPr>
              <w:t>项目</w:t>
            </w:r>
          </w:p>
        </w:tc>
        <w:tc>
          <w:tcPr>
            <w:tcW w:w="480" w:type="pct"/>
            <w:vAlign w:val="center"/>
          </w:tcPr>
          <w:p>
            <w:pPr>
              <w:adjustRightInd/>
              <w:spacing w:line="276" w:lineRule="auto"/>
              <w:rPr>
                <w:rFonts w:ascii="宋体" w:hAnsi="Times New Roman"/>
                <w:kern w:val="21"/>
                <w:sz w:val="18"/>
                <w:szCs w:val="18"/>
              </w:rPr>
            </w:pPr>
            <w:r>
              <w:rPr>
                <w:rFonts w:hint="eastAsia" w:ascii="Times New Roman" w:hAnsi="Times New Roman"/>
                <w:sz w:val="18"/>
                <w:szCs w:val="18"/>
              </w:rPr>
              <w:t>产生量</w:t>
            </w:r>
          </w:p>
        </w:tc>
        <w:tc>
          <w:tcPr>
            <w:tcW w:w="513" w:type="pct"/>
            <w:vAlign w:val="center"/>
          </w:tcPr>
          <w:p>
            <w:pPr>
              <w:adjustRightInd/>
              <w:spacing w:line="276" w:lineRule="auto"/>
              <w:ind w:firstLine="180" w:firstLineChars="100"/>
              <w:rPr>
                <w:rFonts w:ascii="宋体" w:hAnsi="Times New Roman"/>
                <w:kern w:val="21"/>
                <w:sz w:val="18"/>
                <w:szCs w:val="18"/>
              </w:rPr>
            </w:pPr>
            <w:r>
              <w:rPr>
                <w:rFonts w:hint="eastAsia" w:ascii="Times New Roman" w:hAnsi="Times New Roman"/>
                <w:sz w:val="18"/>
                <w:szCs w:val="18"/>
              </w:rPr>
              <w:t>单位</w:t>
            </w:r>
          </w:p>
        </w:tc>
        <w:tc>
          <w:tcPr>
            <w:tcW w:w="798" w:type="pct"/>
            <w:vAlign w:val="center"/>
          </w:tcPr>
          <w:p>
            <w:pPr>
              <w:pStyle w:val="213"/>
              <w:numPr>
                <w:ilvl w:val="0"/>
                <w:numId w:val="0"/>
              </w:numPr>
              <w:ind w:firstLine="270" w:firstLineChars="150"/>
              <w:rPr>
                <w:sz w:val="18"/>
                <w:szCs w:val="18"/>
              </w:rPr>
            </w:pPr>
            <w:r>
              <w:rPr>
                <w:rFonts w:hint="eastAsia"/>
                <w:sz w:val="18"/>
                <w:szCs w:val="18"/>
              </w:rPr>
              <w:t>运输方式</w:t>
            </w:r>
          </w:p>
        </w:tc>
        <w:tc>
          <w:tcPr>
            <w:tcW w:w="1103" w:type="pct"/>
            <w:vAlign w:val="center"/>
          </w:tcPr>
          <w:p>
            <w:pPr>
              <w:pStyle w:val="213"/>
              <w:numPr>
                <w:ilvl w:val="0"/>
                <w:numId w:val="0"/>
              </w:numPr>
              <w:jc w:val="center"/>
              <w:rPr>
                <w:sz w:val="18"/>
                <w:szCs w:val="18"/>
              </w:rPr>
            </w:pPr>
            <w:r>
              <w:rPr>
                <w:rFonts w:hint="eastAsia"/>
                <w:sz w:val="18"/>
                <w:szCs w:val="18"/>
              </w:rPr>
              <w:t>运输距离</w:t>
            </w:r>
          </w:p>
          <w:p>
            <w:pPr>
              <w:pStyle w:val="213"/>
              <w:numPr>
                <w:ilvl w:val="0"/>
                <w:numId w:val="0"/>
              </w:numPr>
              <w:jc w:val="center"/>
              <w:rPr>
                <w:sz w:val="18"/>
                <w:szCs w:val="18"/>
              </w:rPr>
            </w:pPr>
            <w:r>
              <w:rPr>
                <w:rFonts w:hint="eastAsia"/>
                <w:sz w:val="18"/>
                <w:szCs w:val="18"/>
              </w:rPr>
              <w:t>km</w:t>
            </w:r>
          </w:p>
        </w:tc>
        <w:tc>
          <w:tcPr>
            <w:tcW w:w="1016" w:type="pct"/>
            <w:vAlign w:val="center"/>
          </w:tcPr>
          <w:p>
            <w:pPr>
              <w:pStyle w:val="213"/>
              <w:numPr>
                <w:ilvl w:val="0"/>
                <w:numId w:val="0"/>
              </w:numPr>
              <w:jc w:val="center"/>
              <w:rPr>
                <w:sz w:val="18"/>
                <w:szCs w:val="18"/>
              </w:rPr>
            </w:pPr>
            <w:r>
              <w:rPr>
                <w:rFonts w:hint="eastAsia"/>
                <w:sz w:val="18"/>
                <w:szCs w:val="18"/>
              </w:rPr>
              <w:t>处置方式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90" w:type="pct"/>
            <w:vAlign w:val="center"/>
          </w:tcPr>
          <w:p>
            <w:pPr>
              <w:adjustRightInd/>
              <w:spacing w:line="276" w:lineRule="auto"/>
              <w:ind w:firstLine="360"/>
              <w:jc w:val="center"/>
              <w:rPr>
                <w:rFonts w:ascii="宋体" w:hAnsi="Times New Roman"/>
                <w:kern w:val="21"/>
                <w:sz w:val="18"/>
                <w:szCs w:val="18"/>
              </w:rPr>
            </w:pPr>
            <w:r>
              <w:rPr>
                <w:rFonts w:hint="eastAsia" w:ascii="宋体" w:hAnsi="Times New Roman"/>
                <w:kern w:val="21"/>
                <w:sz w:val="18"/>
                <w:szCs w:val="18"/>
              </w:rPr>
              <w:t>废气</w:t>
            </w:r>
          </w:p>
        </w:tc>
        <w:tc>
          <w:tcPr>
            <w:tcW w:w="480" w:type="pct"/>
            <w:vAlign w:val="center"/>
          </w:tcPr>
          <w:p>
            <w:pPr>
              <w:adjustRightInd/>
              <w:spacing w:line="276" w:lineRule="auto"/>
              <w:ind w:firstLine="360"/>
              <w:jc w:val="center"/>
              <w:rPr>
                <w:rFonts w:ascii="宋体" w:hAnsi="Times New Roman"/>
                <w:kern w:val="21"/>
                <w:sz w:val="18"/>
                <w:szCs w:val="18"/>
              </w:rPr>
            </w:pPr>
          </w:p>
        </w:tc>
        <w:tc>
          <w:tcPr>
            <w:tcW w:w="513" w:type="pct"/>
            <w:vAlign w:val="center"/>
          </w:tcPr>
          <w:p>
            <w:pPr>
              <w:adjustRightInd/>
              <w:spacing w:line="276" w:lineRule="auto"/>
              <w:ind w:firstLine="360"/>
              <w:jc w:val="center"/>
              <w:rPr>
                <w:rFonts w:ascii="宋体" w:hAnsi="Times New Roman"/>
                <w:kern w:val="21"/>
                <w:sz w:val="18"/>
                <w:szCs w:val="18"/>
              </w:rPr>
            </w:pPr>
          </w:p>
        </w:tc>
        <w:tc>
          <w:tcPr>
            <w:tcW w:w="798" w:type="pct"/>
            <w:vAlign w:val="center"/>
          </w:tcPr>
          <w:p>
            <w:pPr>
              <w:adjustRightInd/>
              <w:spacing w:line="276" w:lineRule="auto"/>
              <w:ind w:firstLine="360"/>
              <w:jc w:val="center"/>
              <w:rPr>
                <w:rFonts w:ascii="宋体" w:hAnsi="Times New Roman"/>
                <w:kern w:val="21"/>
                <w:sz w:val="18"/>
                <w:szCs w:val="18"/>
              </w:rPr>
            </w:pPr>
          </w:p>
        </w:tc>
        <w:tc>
          <w:tcPr>
            <w:tcW w:w="1103" w:type="pct"/>
            <w:vAlign w:val="center"/>
          </w:tcPr>
          <w:p>
            <w:pPr>
              <w:adjustRightInd/>
              <w:spacing w:line="276" w:lineRule="auto"/>
              <w:ind w:firstLine="360"/>
              <w:jc w:val="center"/>
              <w:rPr>
                <w:rFonts w:ascii="宋体" w:hAnsi="Times New Roman"/>
                <w:kern w:val="21"/>
                <w:sz w:val="18"/>
                <w:szCs w:val="18"/>
              </w:rPr>
            </w:pPr>
          </w:p>
        </w:tc>
        <w:tc>
          <w:tcPr>
            <w:tcW w:w="1016" w:type="pct"/>
            <w:vAlign w:val="center"/>
          </w:tcPr>
          <w:p>
            <w:pPr>
              <w:adjustRightInd/>
              <w:spacing w:line="276" w:lineRule="auto"/>
              <w:ind w:firstLine="360"/>
              <w:jc w:val="center"/>
              <w:rPr>
                <w:rFonts w:ascii="宋体" w:hAnsi="Times New Roman"/>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90" w:type="pct"/>
            <w:vAlign w:val="center"/>
          </w:tcPr>
          <w:p>
            <w:pPr>
              <w:adjustRightInd/>
              <w:spacing w:line="276" w:lineRule="auto"/>
              <w:ind w:firstLine="360"/>
              <w:jc w:val="center"/>
              <w:rPr>
                <w:rFonts w:ascii="宋体" w:hAnsi="Times New Roman"/>
                <w:kern w:val="21"/>
                <w:sz w:val="18"/>
                <w:szCs w:val="18"/>
              </w:rPr>
            </w:pPr>
            <w:r>
              <w:rPr>
                <w:rFonts w:hint="eastAsia" w:ascii="宋体" w:hAnsi="Times New Roman"/>
                <w:kern w:val="21"/>
                <w:sz w:val="18"/>
                <w:szCs w:val="18"/>
              </w:rPr>
              <w:t>废水</w:t>
            </w:r>
          </w:p>
        </w:tc>
        <w:tc>
          <w:tcPr>
            <w:tcW w:w="480" w:type="pct"/>
            <w:vAlign w:val="center"/>
          </w:tcPr>
          <w:p>
            <w:pPr>
              <w:adjustRightInd/>
              <w:spacing w:line="276" w:lineRule="auto"/>
              <w:ind w:firstLine="360"/>
              <w:jc w:val="center"/>
              <w:rPr>
                <w:rFonts w:ascii="宋体" w:hAnsi="Times New Roman"/>
                <w:kern w:val="21"/>
                <w:sz w:val="18"/>
                <w:szCs w:val="18"/>
              </w:rPr>
            </w:pPr>
          </w:p>
        </w:tc>
        <w:tc>
          <w:tcPr>
            <w:tcW w:w="513" w:type="pct"/>
            <w:vAlign w:val="center"/>
          </w:tcPr>
          <w:p>
            <w:pPr>
              <w:adjustRightInd/>
              <w:spacing w:line="276" w:lineRule="auto"/>
              <w:ind w:firstLine="360"/>
              <w:jc w:val="center"/>
              <w:rPr>
                <w:rFonts w:ascii="宋体" w:hAnsi="Times New Roman"/>
                <w:kern w:val="21"/>
                <w:sz w:val="18"/>
                <w:szCs w:val="18"/>
              </w:rPr>
            </w:pPr>
          </w:p>
        </w:tc>
        <w:tc>
          <w:tcPr>
            <w:tcW w:w="798" w:type="pct"/>
            <w:vAlign w:val="center"/>
          </w:tcPr>
          <w:p>
            <w:pPr>
              <w:adjustRightInd/>
              <w:spacing w:line="276" w:lineRule="auto"/>
              <w:ind w:firstLine="360"/>
              <w:jc w:val="center"/>
              <w:rPr>
                <w:rFonts w:ascii="宋体" w:hAnsi="Times New Roman"/>
                <w:kern w:val="21"/>
                <w:sz w:val="18"/>
                <w:szCs w:val="18"/>
              </w:rPr>
            </w:pPr>
          </w:p>
        </w:tc>
        <w:tc>
          <w:tcPr>
            <w:tcW w:w="1103" w:type="pct"/>
            <w:vAlign w:val="center"/>
          </w:tcPr>
          <w:p>
            <w:pPr>
              <w:adjustRightInd/>
              <w:spacing w:line="276" w:lineRule="auto"/>
              <w:ind w:firstLine="360"/>
              <w:jc w:val="center"/>
              <w:rPr>
                <w:rFonts w:ascii="宋体" w:hAnsi="Times New Roman"/>
                <w:kern w:val="21"/>
                <w:sz w:val="18"/>
                <w:szCs w:val="18"/>
              </w:rPr>
            </w:pPr>
          </w:p>
        </w:tc>
        <w:tc>
          <w:tcPr>
            <w:tcW w:w="1016" w:type="pct"/>
            <w:vAlign w:val="center"/>
          </w:tcPr>
          <w:p>
            <w:pPr>
              <w:adjustRightInd/>
              <w:spacing w:line="276" w:lineRule="auto"/>
              <w:ind w:firstLine="360"/>
              <w:jc w:val="center"/>
              <w:rPr>
                <w:rFonts w:ascii="宋体" w:hAnsi="Times New Roman"/>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90" w:type="pct"/>
            <w:vAlign w:val="center"/>
          </w:tcPr>
          <w:p>
            <w:pPr>
              <w:adjustRightInd/>
              <w:spacing w:line="276" w:lineRule="auto"/>
              <w:ind w:firstLine="360"/>
              <w:jc w:val="center"/>
              <w:rPr>
                <w:rFonts w:ascii="宋体" w:hAnsi="Times New Roman"/>
                <w:kern w:val="21"/>
                <w:sz w:val="18"/>
                <w:szCs w:val="18"/>
              </w:rPr>
            </w:pPr>
            <w:r>
              <w:rPr>
                <w:rFonts w:hint="eastAsia" w:ascii="宋体" w:hAnsi="Times New Roman"/>
                <w:kern w:val="21"/>
                <w:sz w:val="18"/>
                <w:szCs w:val="18"/>
              </w:rPr>
              <w:t>固体废弃物</w:t>
            </w:r>
          </w:p>
        </w:tc>
        <w:tc>
          <w:tcPr>
            <w:tcW w:w="480" w:type="pct"/>
            <w:vAlign w:val="center"/>
          </w:tcPr>
          <w:p>
            <w:pPr>
              <w:adjustRightInd/>
              <w:spacing w:line="276" w:lineRule="auto"/>
              <w:ind w:firstLine="360"/>
              <w:jc w:val="center"/>
              <w:rPr>
                <w:rFonts w:ascii="宋体" w:hAnsi="Times New Roman"/>
                <w:kern w:val="21"/>
                <w:sz w:val="18"/>
                <w:szCs w:val="18"/>
              </w:rPr>
            </w:pPr>
          </w:p>
        </w:tc>
        <w:tc>
          <w:tcPr>
            <w:tcW w:w="513" w:type="pct"/>
            <w:vAlign w:val="center"/>
          </w:tcPr>
          <w:p>
            <w:pPr>
              <w:adjustRightInd/>
              <w:spacing w:line="276" w:lineRule="auto"/>
              <w:ind w:firstLine="360"/>
              <w:jc w:val="center"/>
              <w:rPr>
                <w:rFonts w:ascii="宋体" w:hAnsi="Times New Roman"/>
                <w:kern w:val="21"/>
                <w:sz w:val="18"/>
                <w:szCs w:val="18"/>
              </w:rPr>
            </w:pPr>
          </w:p>
        </w:tc>
        <w:tc>
          <w:tcPr>
            <w:tcW w:w="798" w:type="pct"/>
            <w:vAlign w:val="center"/>
          </w:tcPr>
          <w:p>
            <w:pPr>
              <w:adjustRightInd/>
              <w:spacing w:line="276" w:lineRule="auto"/>
              <w:ind w:firstLine="360"/>
              <w:jc w:val="center"/>
              <w:rPr>
                <w:rFonts w:ascii="宋体" w:hAnsi="Times New Roman"/>
                <w:kern w:val="21"/>
                <w:sz w:val="18"/>
                <w:szCs w:val="18"/>
              </w:rPr>
            </w:pPr>
          </w:p>
        </w:tc>
        <w:tc>
          <w:tcPr>
            <w:tcW w:w="1103" w:type="pct"/>
            <w:vAlign w:val="center"/>
          </w:tcPr>
          <w:p>
            <w:pPr>
              <w:adjustRightInd/>
              <w:spacing w:line="276" w:lineRule="auto"/>
              <w:ind w:firstLine="360"/>
              <w:jc w:val="center"/>
              <w:rPr>
                <w:rFonts w:ascii="宋体" w:hAnsi="Times New Roman"/>
                <w:kern w:val="21"/>
                <w:sz w:val="18"/>
                <w:szCs w:val="18"/>
              </w:rPr>
            </w:pPr>
          </w:p>
        </w:tc>
        <w:tc>
          <w:tcPr>
            <w:tcW w:w="1016" w:type="pct"/>
            <w:vAlign w:val="center"/>
          </w:tcPr>
          <w:p>
            <w:pPr>
              <w:adjustRightInd/>
              <w:spacing w:line="276" w:lineRule="auto"/>
              <w:ind w:firstLine="360"/>
              <w:jc w:val="center"/>
              <w:rPr>
                <w:rFonts w:ascii="宋体" w:hAnsi="Times New Roman"/>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90" w:type="pct"/>
            <w:vAlign w:val="center"/>
          </w:tcPr>
          <w:p>
            <w:pPr>
              <w:adjustRightInd/>
              <w:spacing w:line="276" w:lineRule="auto"/>
              <w:ind w:firstLine="360"/>
              <w:jc w:val="center"/>
              <w:rPr>
                <w:rFonts w:ascii="宋体" w:hAnsi="Times New Roman"/>
                <w:kern w:val="21"/>
                <w:sz w:val="18"/>
                <w:szCs w:val="18"/>
              </w:rPr>
            </w:pPr>
            <w:r>
              <w:rPr>
                <w:rFonts w:ascii="宋体" w:hAnsi="Times New Roman"/>
                <w:kern w:val="21"/>
                <w:sz w:val="18"/>
                <w:szCs w:val="18"/>
              </w:rPr>
              <w:t>….</w:t>
            </w:r>
          </w:p>
        </w:tc>
        <w:tc>
          <w:tcPr>
            <w:tcW w:w="480" w:type="pct"/>
            <w:vAlign w:val="center"/>
          </w:tcPr>
          <w:p>
            <w:pPr>
              <w:adjustRightInd/>
              <w:spacing w:line="276" w:lineRule="auto"/>
              <w:ind w:firstLine="360"/>
              <w:jc w:val="center"/>
              <w:rPr>
                <w:rFonts w:ascii="宋体" w:hAnsi="Times New Roman"/>
                <w:kern w:val="21"/>
                <w:sz w:val="18"/>
                <w:szCs w:val="18"/>
              </w:rPr>
            </w:pPr>
          </w:p>
        </w:tc>
        <w:tc>
          <w:tcPr>
            <w:tcW w:w="513" w:type="pct"/>
            <w:vAlign w:val="center"/>
          </w:tcPr>
          <w:p>
            <w:pPr>
              <w:adjustRightInd/>
              <w:spacing w:line="276" w:lineRule="auto"/>
              <w:ind w:firstLine="360"/>
              <w:jc w:val="center"/>
              <w:rPr>
                <w:rFonts w:ascii="宋体" w:hAnsi="Times New Roman"/>
                <w:kern w:val="21"/>
                <w:sz w:val="18"/>
                <w:szCs w:val="18"/>
              </w:rPr>
            </w:pPr>
          </w:p>
        </w:tc>
        <w:tc>
          <w:tcPr>
            <w:tcW w:w="798" w:type="pct"/>
            <w:vAlign w:val="center"/>
          </w:tcPr>
          <w:p>
            <w:pPr>
              <w:adjustRightInd/>
              <w:spacing w:line="276" w:lineRule="auto"/>
              <w:ind w:firstLine="360"/>
              <w:jc w:val="center"/>
              <w:rPr>
                <w:rFonts w:ascii="宋体" w:hAnsi="Times New Roman"/>
                <w:kern w:val="21"/>
                <w:sz w:val="18"/>
                <w:szCs w:val="18"/>
              </w:rPr>
            </w:pPr>
          </w:p>
        </w:tc>
        <w:tc>
          <w:tcPr>
            <w:tcW w:w="1103" w:type="pct"/>
            <w:vAlign w:val="center"/>
          </w:tcPr>
          <w:p>
            <w:pPr>
              <w:adjustRightInd/>
              <w:spacing w:line="276" w:lineRule="auto"/>
              <w:ind w:firstLine="360"/>
              <w:jc w:val="center"/>
              <w:rPr>
                <w:rFonts w:ascii="宋体" w:hAnsi="Times New Roman"/>
                <w:kern w:val="21"/>
                <w:sz w:val="18"/>
                <w:szCs w:val="18"/>
              </w:rPr>
            </w:pPr>
          </w:p>
        </w:tc>
        <w:tc>
          <w:tcPr>
            <w:tcW w:w="1016" w:type="pct"/>
            <w:vAlign w:val="center"/>
          </w:tcPr>
          <w:p>
            <w:pPr>
              <w:adjustRightInd/>
              <w:spacing w:line="276" w:lineRule="auto"/>
              <w:ind w:firstLine="360"/>
              <w:jc w:val="center"/>
              <w:rPr>
                <w:rFonts w:ascii="宋体" w:hAnsi="Times New Roman"/>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000" w:type="pct"/>
            <w:gridSpan w:val="6"/>
            <w:vAlign w:val="center"/>
          </w:tcPr>
          <w:p>
            <w:pPr>
              <w:pStyle w:val="181"/>
            </w:pPr>
            <w:r>
              <w:rPr>
                <w:rFonts w:hint="eastAsia"/>
              </w:rPr>
              <w:t>消耗的资源、能源以及G</w:t>
            </w:r>
            <w:r>
              <w:t>HG</w:t>
            </w:r>
            <w:r>
              <w:rPr>
                <w:rFonts w:hint="eastAsia"/>
              </w:rPr>
              <w:t>排放等项目以厂家实际生产情况。</w:t>
            </w:r>
          </w:p>
        </w:tc>
      </w:tr>
    </w:tbl>
    <w:p>
      <w:pPr>
        <w:pStyle w:val="58"/>
        <w:ind w:firstLine="420"/>
      </w:pPr>
    </w:p>
    <w:p>
      <w:pPr>
        <w:pStyle w:val="58"/>
        <w:ind w:firstLine="420"/>
      </w:pPr>
    </w:p>
    <w:p>
      <w:pPr>
        <w:pStyle w:val="58"/>
        <w:spacing w:line="360" w:lineRule="auto"/>
        <w:ind w:firstLine="199" w:firstLineChars="95"/>
        <w:sectPr>
          <w:pgSz w:w="11906" w:h="16838"/>
          <w:pgMar w:top="567" w:right="1134" w:bottom="1134" w:left="1134" w:header="1418" w:footer="1134" w:gutter="284"/>
          <w:cols w:space="425" w:num="1"/>
          <w:formProt w:val="0"/>
          <w:docGrid w:type="lines" w:linePitch="312" w:charSpace="0"/>
        </w:sectPr>
      </w:pPr>
    </w:p>
    <w:p>
      <w:pPr>
        <w:pStyle w:val="200"/>
        <w:rPr>
          <w:vanish w:val="0"/>
        </w:rPr>
      </w:pPr>
    </w:p>
    <w:p>
      <w:pPr>
        <w:pStyle w:val="201"/>
        <w:rPr>
          <w:vanish w:val="0"/>
        </w:rPr>
      </w:pPr>
    </w:p>
    <w:p>
      <w:pPr>
        <w:pStyle w:val="78"/>
        <w:spacing w:before="78" w:after="156"/>
      </w:pPr>
      <w:r>
        <w:br w:type="textWrapping"/>
      </w:r>
      <w:bookmarkStart w:id="169" w:name="_Toc201828355"/>
      <w:r>
        <w:rPr>
          <w:rFonts w:hint="eastAsia"/>
        </w:rPr>
        <w:t>（资料性）</w:t>
      </w:r>
      <w:r>
        <w:br w:type="textWrapping"/>
      </w:r>
      <w:r>
        <w:rPr>
          <w:rFonts w:hint="eastAsia"/>
        </w:rPr>
        <w:t>次级数据收集</w:t>
      </w:r>
      <w:bookmarkEnd w:id="169"/>
    </w:p>
    <w:p>
      <w:pPr>
        <w:pStyle w:val="58"/>
        <w:ind w:firstLine="420"/>
      </w:pPr>
      <w:r>
        <w:rPr>
          <w:rFonts w:hint="eastAsia"/>
        </w:rPr>
        <w:t>次级数据采集表见表</w:t>
      </w:r>
      <w:r>
        <w:t>D</w:t>
      </w:r>
      <w:r>
        <w:rPr>
          <w:rFonts w:hint="eastAsia"/>
        </w:rPr>
        <w:t>.1。</w:t>
      </w:r>
    </w:p>
    <w:p>
      <w:pPr>
        <w:pStyle w:val="79"/>
        <w:spacing w:before="156" w:after="156"/>
      </w:pPr>
      <w:r>
        <w:rPr>
          <w:rFonts w:hint="eastAsia"/>
        </w:rPr>
        <w:t>次级数据收集</w:t>
      </w:r>
    </w:p>
    <w:tbl>
      <w:tblPr>
        <w:tblStyle w:val="23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510"/>
        <w:gridCol w:w="1056"/>
        <w:gridCol w:w="730"/>
        <w:gridCol w:w="1696"/>
        <w:gridCol w:w="1214"/>
        <w:gridCol w:w="1214"/>
        <w:gridCol w:w="12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209" w:type="dxa"/>
            <w:gridSpan w:val="2"/>
            <w:vAlign w:val="center"/>
          </w:tcPr>
          <w:p>
            <w:pPr>
              <w:adjustRightInd/>
              <w:spacing w:line="276" w:lineRule="auto"/>
              <w:jc w:val="center"/>
              <w:rPr>
                <w:rFonts w:ascii="宋体" w:hAnsi="宋体"/>
                <w:kern w:val="21"/>
                <w:sz w:val="18"/>
                <w:szCs w:val="18"/>
              </w:rPr>
            </w:pPr>
            <w:r>
              <w:rPr>
                <w:rFonts w:hint="eastAsia" w:ascii="宋体" w:hAnsi="宋体"/>
                <w:kern w:val="21"/>
                <w:sz w:val="18"/>
                <w:szCs w:val="18"/>
              </w:rPr>
              <w:t>次级数据</w:t>
            </w:r>
          </w:p>
        </w:tc>
        <w:tc>
          <w:tcPr>
            <w:tcW w:w="1056" w:type="dxa"/>
            <w:vAlign w:val="center"/>
          </w:tcPr>
          <w:p>
            <w:pPr>
              <w:adjustRightInd/>
              <w:spacing w:line="276" w:lineRule="auto"/>
              <w:jc w:val="center"/>
              <w:rPr>
                <w:rFonts w:ascii="宋体" w:hAnsi="宋体"/>
                <w:kern w:val="21"/>
                <w:sz w:val="18"/>
                <w:szCs w:val="18"/>
              </w:rPr>
            </w:pPr>
            <w:r>
              <w:rPr>
                <w:rFonts w:hint="eastAsia" w:ascii="宋体" w:hAnsi="宋体"/>
                <w:kern w:val="21"/>
                <w:sz w:val="18"/>
                <w:szCs w:val="18"/>
              </w:rPr>
              <w:t>全生命</w:t>
            </w:r>
            <w:r>
              <w:rPr>
                <w:rFonts w:ascii="宋体" w:hAnsi="宋体"/>
                <w:kern w:val="21"/>
                <w:sz w:val="18"/>
                <w:szCs w:val="18"/>
              </w:rPr>
              <w:t>周期温室</w:t>
            </w:r>
            <w:r>
              <w:rPr>
                <w:rFonts w:hint="eastAsia" w:ascii="宋体" w:hAnsi="宋体"/>
                <w:kern w:val="21"/>
                <w:sz w:val="18"/>
                <w:szCs w:val="18"/>
              </w:rPr>
              <w:t>气体排放</w:t>
            </w:r>
            <w:r>
              <w:rPr>
                <w:rFonts w:ascii="宋体" w:hAnsi="宋体"/>
                <w:kern w:val="21"/>
                <w:sz w:val="18"/>
                <w:szCs w:val="18"/>
              </w:rPr>
              <w:t>因子</w:t>
            </w:r>
          </w:p>
        </w:tc>
        <w:tc>
          <w:tcPr>
            <w:tcW w:w="730" w:type="dxa"/>
            <w:vAlign w:val="center"/>
          </w:tcPr>
          <w:p>
            <w:pPr>
              <w:adjustRightInd/>
              <w:spacing w:line="276" w:lineRule="auto"/>
              <w:jc w:val="center"/>
              <w:rPr>
                <w:rFonts w:ascii="宋体" w:hAnsi="宋体"/>
                <w:kern w:val="21"/>
                <w:sz w:val="18"/>
                <w:szCs w:val="18"/>
              </w:rPr>
            </w:pPr>
            <w:r>
              <w:rPr>
                <w:rFonts w:hint="eastAsia" w:ascii="宋体" w:hAnsi="宋体"/>
                <w:kern w:val="21"/>
                <w:sz w:val="18"/>
                <w:szCs w:val="18"/>
              </w:rPr>
              <w:t>数据来源</w:t>
            </w:r>
          </w:p>
        </w:tc>
        <w:tc>
          <w:tcPr>
            <w:tcW w:w="1696" w:type="dxa"/>
            <w:vAlign w:val="center"/>
          </w:tcPr>
          <w:p>
            <w:pPr>
              <w:adjustRightInd/>
              <w:spacing w:line="276" w:lineRule="auto"/>
              <w:jc w:val="center"/>
              <w:rPr>
                <w:rFonts w:ascii="宋体" w:hAnsi="宋体"/>
                <w:kern w:val="21"/>
                <w:sz w:val="18"/>
                <w:szCs w:val="18"/>
              </w:rPr>
            </w:pPr>
            <w:r>
              <w:rPr>
                <w:rFonts w:hint="eastAsia" w:ascii="宋体" w:hAnsi="宋体"/>
                <w:kern w:val="21"/>
                <w:sz w:val="18"/>
                <w:szCs w:val="18"/>
              </w:rPr>
              <w:t>数据获取方式</w:t>
            </w:r>
          </w:p>
        </w:tc>
        <w:tc>
          <w:tcPr>
            <w:tcW w:w="1214" w:type="dxa"/>
            <w:vAlign w:val="center"/>
          </w:tcPr>
          <w:p>
            <w:pPr>
              <w:adjustRightInd/>
              <w:spacing w:line="276" w:lineRule="auto"/>
              <w:jc w:val="center"/>
              <w:rPr>
                <w:rFonts w:ascii="宋体" w:hAnsi="宋体"/>
                <w:kern w:val="21"/>
                <w:sz w:val="18"/>
                <w:szCs w:val="18"/>
              </w:rPr>
            </w:pPr>
            <w:r>
              <w:rPr>
                <w:rFonts w:hint="eastAsia" w:ascii="宋体" w:hAnsi="宋体"/>
                <w:kern w:val="21"/>
                <w:sz w:val="18"/>
                <w:szCs w:val="18"/>
              </w:rPr>
              <w:t>时间代表性</w:t>
            </w:r>
          </w:p>
        </w:tc>
        <w:tc>
          <w:tcPr>
            <w:tcW w:w="1214" w:type="dxa"/>
            <w:vAlign w:val="center"/>
          </w:tcPr>
          <w:p>
            <w:pPr>
              <w:adjustRightInd/>
              <w:spacing w:line="276" w:lineRule="auto"/>
              <w:jc w:val="center"/>
              <w:rPr>
                <w:rFonts w:ascii="宋体" w:hAnsi="宋体"/>
                <w:kern w:val="21"/>
                <w:sz w:val="18"/>
                <w:szCs w:val="18"/>
              </w:rPr>
            </w:pPr>
            <w:r>
              <w:rPr>
                <w:rFonts w:hint="eastAsia" w:ascii="宋体" w:hAnsi="宋体"/>
                <w:kern w:val="21"/>
                <w:sz w:val="18"/>
                <w:szCs w:val="18"/>
              </w:rPr>
              <w:t>地域代表性</w:t>
            </w:r>
          </w:p>
        </w:tc>
        <w:tc>
          <w:tcPr>
            <w:tcW w:w="1215" w:type="dxa"/>
            <w:vAlign w:val="center"/>
          </w:tcPr>
          <w:p>
            <w:pPr>
              <w:adjustRightInd/>
              <w:spacing w:line="276" w:lineRule="auto"/>
              <w:jc w:val="center"/>
              <w:rPr>
                <w:rFonts w:ascii="宋体" w:hAnsi="宋体"/>
                <w:kern w:val="21"/>
                <w:sz w:val="18"/>
                <w:szCs w:val="18"/>
              </w:rPr>
            </w:pPr>
            <w:r>
              <w:rPr>
                <w:rFonts w:hint="eastAsia" w:ascii="宋体" w:hAnsi="宋体"/>
                <w:kern w:val="21"/>
                <w:sz w:val="18"/>
                <w:szCs w:val="18"/>
              </w:rPr>
              <w:t>技术代表性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vAlign w:val="center"/>
          </w:tcPr>
          <w:p>
            <w:pPr>
              <w:adjustRightInd/>
              <w:spacing w:line="276" w:lineRule="auto"/>
              <w:rPr>
                <w:rFonts w:ascii="宋体" w:hAnsi="Times New Roman"/>
                <w:kern w:val="21"/>
                <w:szCs w:val="20"/>
              </w:rPr>
            </w:pPr>
            <w:r>
              <w:rPr>
                <w:rFonts w:hint="eastAsia" w:ascii="宋体" w:hAnsi="Times New Roman"/>
                <w:kern w:val="21"/>
                <w:szCs w:val="20"/>
              </w:rPr>
              <w:t>资源</w:t>
            </w:r>
          </w:p>
        </w:tc>
        <w:tc>
          <w:tcPr>
            <w:tcW w:w="1510" w:type="dxa"/>
            <w:vAlign w:val="center"/>
          </w:tcPr>
          <w:p>
            <w:pPr>
              <w:adjustRightInd/>
              <w:spacing w:line="276" w:lineRule="auto"/>
              <w:jc w:val="center"/>
              <w:rPr>
                <w:rFonts w:ascii="宋体" w:hAnsi="宋体"/>
                <w:kern w:val="21"/>
                <w:sz w:val="18"/>
                <w:szCs w:val="18"/>
              </w:rPr>
            </w:pPr>
          </w:p>
        </w:tc>
        <w:tc>
          <w:tcPr>
            <w:tcW w:w="1056" w:type="dxa"/>
            <w:vAlign w:val="center"/>
          </w:tcPr>
          <w:p>
            <w:pPr>
              <w:adjustRightInd/>
              <w:spacing w:line="276" w:lineRule="auto"/>
              <w:jc w:val="center"/>
              <w:rPr>
                <w:rFonts w:ascii="宋体" w:hAnsi="宋体"/>
                <w:kern w:val="21"/>
                <w:sz w:val="18"/>
                <w:szCs w:val="18"/>
              </w:rPr>
            </w:pPr>
          </w:p>
        </w:tc>
        <w:tc>
          <w:tcPr>
            <w:tcW w:w="730" w:type="dxa"/>
            <w:vAlign w:val="center"/>
          </w:tcPr>
          <w:p>
            <w:pPr>
              <w:adjustRightInd/>
              <w:spacing w:line="276" w:lineRule="auto"/>
              <w:jc w:val="center"/>
              <w:rPr>
                <w:rFonts w:ascii="宋体" w:hAnsi="宋体"/>
                <w:kern w:val="21"/>
                <w:sz w:val="18"/>
                <w:szCs w:val="18"/>
              </w:rPr>
            </w:pPr>
          </w:p>
        </w:tc>
        <w:tc>
          <w:tcPr>
            <w:tcW w:w="1696"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5" w:type="dxa"/>
            <w:vAlign w:val="center"/>
          </w:tcPr>
          <w:p>
            <w:pPr>
              <w:adjustRightInd/>
              <w:spacing w:line="276" w:lineRule="auto"/>
              <w:jc w:val="center"/>
              <w:rPr>
                <w:rFonts w:ascii="宋体" w:hAns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adjustRightInd/>
              <w:spacing w:line="276" w:lineRule="auto"/>
              <w:jc w:val="center"/>
              <w:rPr>
                <w:rFonts w:ascii="宋体" w:hAnsi="Times New Roman"/>
                <w:kern w:val="21"/>
                <w:szCs w:val="20"/>
              </w:rPr>
            </w:pPr>
          </w:p>
        </w:tc>
        <w:tc>
          <w:tcPr>
            <w:tcW w:w="1510" w:type="dxa"/>
            <w:vAlign w:val="center"/>
          </w:tcPr>
          <w:p>
            <w:pPr>
              <w:adjustRightInd/>
              <w:spacing w:line="276" w:lineRule="auto"/>
              <w:jc w:val="center"/>
              <w:rPr>
                <w:rFonts w:ascii="宋体" w:hAnsi="宋体"/>
                <w:kern w:val="21"/>
                <w:sz w:val="18"/>
                <w:szCs w:val="18"/>
              </w:rPr>
            </w:pPr>
          </w:p>
        </w:tc>
        <w:tc>
          <w:tcPr>
            <w:tcW w:w="1056" w:type="dxa"/>
            <w:vAlign w:val="center"/>
          </w:tcPr>
          <w:p>
            <w:pPr>
              <w:adjustRightInd/>
              <w:spacing w:line="276" w:lineRule="auto"/>
              <w:jc w:val="center"/>
              <w:rPr>
                <w:rFonts w:ascii="宋体" w:hAnsi="宋体"/>
                <w:kern w:val="21"/>
                <w:sz w:val="18"/>
                <w:szCs w:val="18"/>
              </w:rPr>
            </w:pPr>
          </w:p>
        </w:tc>
        <w:tc>
          <w:tcPr>
            <w:tcW w:w="730" w:type="dxa"/>
            <w:vAlign w:val="center"/>
          </w:tcPr>
          <w:p>
            <w:pPr>
              <w:adjustRightInd/>
              <w:spacing w:line="276" w:lineRule="auto"/>
              <w:jc w:val="center"/>
              <w:rPr>
                <w:rFonts w:ascii="宋体" w:hAnsi="宋体"/>
                <w:kern w:val="21"/>
                <w:sz w:val="18"/>
                <w:szCs w:val="18"/>
              </w:rPr>
            </w:pPr>
          </w:p>
        </w:tc>
        <w:tc>
          <w:tcPr>
            <w:tcW w:w="1696"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5" w:type="dxa"/>
            <w:vAlign w:val="center"/>
          </w:tcPr>
          <w:p>
            <w:pPr>
              <w:adjustRightInd/>
              <w:spacing w:line="276" w:lineRule="auto"/>
              <w:jc w:val="center"/>
              <w:rPr>
                <w:rFonts w:ascii="宋体" w:hAns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adjustRightInd/>
              <w:spacing w:line="276" w:lineRule="auto"/>
              <w:jc w:val="center"/>
              <w:rPr>
                <w:rFonts w:ascii="宋体" w:hAnsi="Times New Roman"/>
                <w:kern w:val="21"/>
                <w:szCs w:val="20"/>
              </w:rPr>
            </w:pPr>
          </w:p>
        </w:tc>
        <w:tc>
          <w:tcPr>
            <w:tcW w:w="1510" w:type="dxa"/>
            <w:vAlign w:val="center"/>
          </w:tcPr>
          <w:p>
            <w:pPr>
              <w:adjustRightInd/>
              <w:spacing w:line="276" w:lineRule="auto"/>
              <w:jc w:val="center"/>
              <w:rPr>
                <w:rFonts w:ascii="宋体" w:hAnsi="宋体"/>
                <w:kern w:val="21"/>
                <w:sz w:val="18"/>
                <w:szCs w:val="18"/>
              </w:rPr>
            </w:pPr>
          </w:p>
        </w:tc>
        <w:tc>
          <w:tcPr>
            <w:tcW w:w="1056" w:type="dxa"/>
            <w:vAlign w:val="center"/>
          </w:tcPr>
          <w:p>
            <w:pPr>
              <w:adjustRightInd/>
              <w:spacing w:line="276" w:lineRule="auto"/>
              <w:jc w:val="center"/>
              <w:rPr>
                <w:rFonts w:ascii="宋体" w:hAnsi="宋体"/>
                <w:kern w:val="21"/>
                <w:sz w:val="18"/>
                <w:szCs w:val="18"/>
              </w:rPr>
            </w:pPr>
          </w:p>
        </w:tc>
        <w:tc>
          <w:tcPr>
            <w:tcW w:w="730" w:type="dxa"/>
            <w:vAlign w:val="center"/>
          </w:tcPr>
          <w:p>
            <w:pPr>
              <w:adjustRightInd/>
              <w:spacing w:line="276" w:lineRule="auto"/>
              <w:jc w:val="center"/>
              <w:rPr>
                <w:rFonts w:ascii="宋体" w:hAnsi="宋体"/>
                <w:kern w:val="21"/>
                <w:sz w:val="18"/>
                <w:szCs w:val="18"/>
              </w:rPr>
            </w:pPr>
          </w:p>
        </w:tc>
        <w:tc>
          <w:tcPr>
            <w:tcW w:w="1696"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5" w:type="dxa"/>
            <w:vAlign w:val="center"/>
          </w:tcPr>
          <w:p>
            <w:pPr>
              <w:adjustRightInd/>
              <w:spacing w:line="276" w:lineRule="auto"/>
              <w:jc w:val="center"/>
              <w:rPr>
                <w:rFonts w:ascii="宋体" w:hAns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adjustRightInd/>
              <w:spacing w:line="276" w:lineRule="auto"/>
              <w:jc w:val="center"/>
              <w:rPr>
                <w:rFonts w:ascii="宋体" w:hAnsi="Times New Roman"/>
                <w:kern w:val="21"/>
                <w:szCs w:val="20"/>
              </w:rPr>
            </w:pPr>
          </w:p>
        </w:tc>
        <w:tc>
          <w:tcPr>
            <w:tcW w:w="1510" w:type="dxa"/>
            <w:vAlign w:val="center"/>
          </w:tcPr>
          <w:p>
            <w:pPr>
              <w:adjustRightInd/>
              <w:spacing w:line="276" w:lineRule="auto"/>
              <w:jc w:val="center"/>
              <w:rPr>
                <w:rFonts w:ascii="宋体" w:hAnsi="宋体"/>
                <w:kern w:val="21"/>
                <w:sz w:val="18"/>
                <w:szCs w:val="18"/>
              </w:rPr>
            </w:pPr>
          </w:p>
        </w:tc>
        <w:tc>
          <w:tcPr>
            <w:tcW w:w="1056" w:type="dxa"/>
            <w:vAlign w:val="center"/>
          </w:tcPr>
          <w:p>
            <w:pPr>
              <w:adjustRightInd/>
              <w:spacing w:line="276" w:lineRule="auto"/>
              <w:jc w:val="center"/>
              <w:rPr>
                <w:rFonts w:ascii="宋体" w:hAnsi="宋体"/>
                <w:kern w:val="21"/>
                <w:sz w:val="18"/>
                <w:szCs w:val="18"/>
              </w:rPr>
            </w:pPr>
          </w:p>
        </w:tc>
        <w:tc>
          <w:tcPr>
            <w:tcW w:w="730" w:type="dxa"/>
            <w:vAlign w:val="center"/>
          </w:tcPr>
          <w:p>
            <w:pPr>
              <w:adjustRightInd/>
              <w:spacing w:line="276" w:lineRule="auto"/>
              <w:jc w:val="center"/>
              <w:rPr>
                <w:rFonts w:ascii="宋体" w:hAnsi="宋体"/>
                <w:kern w:val="21"/>
                <w:sz w:val="18"/>
                <w:szCs w:val="18"/>
              </w:rPr>
            </w:pPr>
          </w:p>
        </w:tc>
        <w:tc>
          <w:tcPr>
            <w:tcW w:w="1696"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5" w:type="dxa"/>
            <w:vAlign w:val="center"/>
          </w:tcPr>
          <w:p>
            <w:pPr>
              <w:adjustRightInd/>
              <w:spacing w:line="276" w:lineRule="auto"/>
              <w:jc w:val="center"/>
              <w:rPr>
                <w:rFonts w:ascii="宋体" w:hAns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adjustRightInd/>
              <w:spacing w:line="276" w:lineRule="auto"/>
              <w:jc w:val="center"/>
              <w:rPr>
                <w:rFonts w:ascii="宋体" w:hAnsi="Times New Roman"/>
                <w:kern w:val="21"/>
                <w:szCs w:val="20"/>
              </w:rPr>
            </w:pPr>
          </w:p>
        </w:tc>
        <w:tc>
          <w:tcPr>
            <w:tcW w:w="1510" w:type="dxa"/>
            <w:vAlign w:val="center"/>
          </w:tcPr>
          <w:p>
            <w:pPr>
              <w:adjustRightInd/>
              <w:spacing w:line="276" w:lineRule="auto"/>
              <w:jc w:val="center"/>
              <w:rPr>
                <w:rFonts w:ascii="宋体" w:hAnsi="宋体"/>
                <w:kern w:val="21"/>
                <w:sz w:val="18"/>
                <w:szCs w:val="18"/>
              </w:rPr>
            </w:pPr>
          </w:p>
        </w:tc>
        <w:tc>
          <w:tcPr>
            <w:tcW w:w="1056" w:type="dxa"/>
            <w:vAlign w:val="center"/>
          </w:tcPr>
          <w:p>
            <w:pPr>
              <w:adjustRightInd/>
              <w:spacing w:line="276" w:lineRule="auto"/>
              <w:jc w:val="center"/>
              <w:rPr>
                <w:rFonts w:ascii="宋体" w:hAnsi="宋体"/>
                <w:kern w:val="21"/>
                <w:sz w:val="18"/>
                <w:szCs w:val="18"/>
              </w:rPr>
            </w:pPr>
          </w:p>
        </w:tc>
        <w:tc>
          <w:tcPr>
            <w:tcW w:w="730" w:type="dxa"/>
            <w:vAlign w:val="center"/>
          </w:tcPr>
          <w:p>
            <w:pPr>
              <w:adjustRightInd/>
              <w:spacing w:line="276" w:lineRule="auto"/>
              <w:jc w:val="center"/>
              <w:rPr>
                <w:rFonts w:ascii="宋体" w:hAnsi="宋体"/>
                <w:kern w:val="21"/>
                <w:sz w:val="18"/>
                <w:szCs w:val="18"/>
              </w:rPr>
            </w:pPr>
          </w:p>
        </w:tc>
        <w:tc>
          <w:tcPr>
            <w:tcW w:w="1696"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5" w:type="dxa"/>
            <w:vAlign w:val="center"/>
          </w:tcPr>
          <w:p>
            <w:pPr>
              <w:adjustRightInd/>
              <w:spacing w:line="276" w:lineRule="auto"/>
              <w:jc w:val="center"/>
              <w:rPr>
                <w:rFonts w:ascii="宋体" w:hAns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Merge w:val="continue"/>
            <w:vAlign w:val="center"/>
          </w:tcPr>
          <w:p>
            <w:pPr>
              <w:adjustRightInd/>
              <w:spacing w:line="276" w:lineRule="auto"/>
              <w:jc w:val="center"/>
              <w:rPr>
                <w:rFonts w:ascii="宋体" w:hAnsi="Times New Roman"/>
                <w:kern w:val="21"/>
                <w:szCs w:val="20"/>
              </w:rPr>
            </w:pPr>
          </w:p>
        </w:tc>
        <w:tc>
          <w:tcPr>
            <w:tcW w:w="1510" w:type="dxa"/>
            <w:vAlign w:val="center"/>
          </w:tcPr>
          <w:p>
            <w:pPr>
              <w:adjustRightInd/>
              <w:spacing w:line="276" w:lineRule="auto"/>
              <w:jc w:val="center"/>
              <w:rPr>
                <w:rFonts w:ascii="宋体" w:hAnsi="宋体"/>
                <w:kern w:val="21"/>
                <w:sz w:val="18"/>
                <w:szCs w:val="18"/>
              </w:rPr>
            </w:pPr>
          </w:p>
        </w:tc>
        <w:tc>
          <w:tcPr>
            <w:tcW w:w="1056" w:type="dxa"/>
            <w:vAlign w:val="center"/>
          </w:tcPr>
          <w:p>
            <w:pPr>
              <w:adjustRightInd/>
              <w:spacing w:line="276" w:lineRule="auto"/>
              <w:jc w:val="center"/>
              <w:rPr>
                <w:rFonts w:ascii="宋体" w:hAnsi="宋体"/>
                <w:kern w:val="21"/>
                <w:sz w:val="18"/>
                <w:szCs w:val="18"/>
              </w:rPr>
            </w:pPr>
          </w:p>
        </w:tc>
        <w:tc>
          <w:tcPr>
            <w:tcW w:w="730" w:type="dxa"/>
            <w:vAlign w:val="center"/>
          </w:tcPr>
          <w:p>
            <w:pPr>
              <w:adjustRightInd/>
              <w:spacing w:line="276" w:lineRule="auto"/>
              <w:jc w:val="center"/>
              <w:rPr>
                <w:rFonts w:ascii="宋体" w:hAnsi="宋体"/>
                <w:kern w:val="21"/>
                <w:sz w:val="18"/>
                <w:szCs w:val="18"/>
              </w:rPr>
            </w:pPr>
          </w:p>
        </w:tc>
        <w:tc>
          <w:tcPr>
            <w:tcW w:w="1696"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5" w:type="dxa"/>
            <w:vAlign w:val="center"/>
          </w:tcPr>
          <w:p>
            <w:pPr>
              <w:adjustRightInd/>
              <w:spacing w:line="276" w:lineRule="auto"/>
              <w:jc w:val="center"/>
              <w:rPr>
                <w:rFonts w:ascii="宋体" w:hAns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Merge w:val="continue"/>
            <w:vAlign w:val="center"/>
          </w:tcPr>
          <w:p>
            <w:pPr>
              <w:adjustRightInd/>
              <w:spacing w:line="276" w:lineRule="auto"/>
              <w:jc w:val="center"/>
              <w:rPr>
                <w:rFonts w:ascii="宋体" w:hAnsi="Times New Roman"/>
                <w:kern w:val="21"/>
                <w:szCs w:val="20"/>
              </w:rPr>
            </w:pPr>
          </w:p>
        </w:tc>
        <w:tc>
          <w:tcPr>
            <w:tcW w:w="1510" w:type="dxa"/>
            <w:vAlign w:val="center"/>
          </w:tcPr>
          <w:p>
            <w:pPr>
              <w:adjustRightInd/>
              <w:spacing w:line="276" w:lineRule="auto"/>
              <w:jc w:val="center"/>
              <w:rPr>
                <w:rFonts w:ascii="宋体" w:hAnsi="宋体"/>
                <w:kern w:val="21"/>
                <w:sz w:val="18"/>
                <w:szCs w:val="18"/>
              </w:rPr>
            </w:pPr>
            <w:r>
              <w:rPr>
                <w:rFonts w:hint="eastAsia" w:ascii="宋体" w:hAnsi="宋体"/>
                <w:kern w:val="21"/>
                <w:sz w:val="18"/>
                <w:szCs w:val="18"/>
              </w:rPr>
              <w:t>...</w:t>
            </w:r>
          </w:p>
        </w:tc>
        <w:tc>
          <w:tcPr>
            <w:tcW w:w="1056" w:type="dxa"/>
            <w:vAlign w:val="center"/>
          </w:tcPr>
          <w:p>
            <w:pPr>
              <w:adjustRightInd/>
              <w:spacing w:line="276" w:lineRule="auto"/>
              <w:jc w:val="center"/>
              <w:rPr>
                <w:rFonts w:ascii="宋体" w:hAnsi="宋体"/>
                <w:kern w:val="21"/>
                <w:sz w:val="18"/>
                <w:szCs w:val="18"/>
              </w:rPr>
            </w:pPr>
          </w:p>
        </w:tc>
        <w:tc>
          <w:tcPr>
            <w:tcW w:w="730" w:type="dxa"/>
            <w:vAlign w:val="center"/>
          </w:tcPr>
          <w:p>
            <w:pPr>
              <w:adjustRightInd/>
              <w:spacing w:line="276" w:lineRule="auto"/>
              <w:jc w:val="center"/>
              <w:rPr>
                <w:rFonts w:ascii="宋体" w:hAnsi="宋体"/>
                <w:kern w:val="21"/>
                <w:sz w:val="18"/>
                <w:szCs w:val="18"/>
              </w:rPr>
            </w:pPr>
          </w:p>
        </w:tc>
        <w:tc>
          <w:tcPr>
            <w:tcW w:w="1696"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5" w:type="dxa"/>
            <w:vAlign w:val="center"/>
          </w:tcPr>
          <w:p>
            <w:pPr>
              <w:adjustRightInd/>
              <w:spacing w:line="276" w:lineRule="auto"/>
              <w:jc w:val="center"/>
              <w:rPr>
                <w:rFonts w:ascii="宋体" w:hAns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adjustRightInd/>
              <w:spacing w:line="276" w:lineRule="auto"/>
              <w:jc w:val="center"/>
              <w:rPr>
                <w:rFonts w:ascii="宋体" w:hAnsi="Times New Roman"/>
                <w:kern w:val="21"/>
                <w:szCs w:val="20"/>
              </w:rPr>
            </w:pPr>
            <w:r>
              <w:rPr>
                <w:rFonts w:hint="eastAsia" w:ascii="宋体" w:hAnsi="Times New Roman"/>
                <w:kern w:val="21"/>
                <w:szCs w:val="20"/>
              </w:rPr>
              <w:t>能源</w:t>
            </w:r>
          </w:p>
        </w:tc>
        <w:tc>
          <w:tcPr>
            <w:tcW w:w="1510" w:type="dxa"/>
            <w:vAlign w:val="center"/>
          </w:tcPr>
          <w:p>
            <w:pPr>
              <w:adjustRightInd/>
              <w:spacing w:line="276" w:lineRule="auto"/>
              <w:jc w:val="center"/>
              <w:rPr>
                <w:rFonts w:ascii="宋体" w:hAnsi="宋体"/>
                <w:kern w:val="21"/>
                <w:sz w:val="18"/>
                <w:szCs w:val="18"/>
              </w:rPr>
            </w:pPr>
            <w:r>
              <w:rPr>
                <w:rFonts w:hint="eastAsia" w:ascii="宋体" w:hAnsi="宋体"/>
                <w:kern w:val="21"/>
                <w:sz w:val="18"/>
                <w:szCs w:val="18"/>
              </w:rPr>
              <w:t>电</w:t>
            </w:r>
          </w:p>
        </w:tc>
        <w:tc>
          <w:tcPr>
            <w:tcW w:w="1056" w:type="dxa"/>
            <w:vAlign w:val="center"/>
          </w:tcPr>
          <w:p>
            <w:pPr>
              <w:adjustRightInd/>
              <w:spacing w:line="276" w:lineRule="auto"/>
              <w:jc w:val="center"/>
              <w:rPr>
                <w:rFonts w:ascii="宋体" w:hAnsi="宋体"/>
                <w:kern w:val="21"/>
                <w:sz w:val="18"/>
                <w:szCs w:val="18"/>
              </w:rPr>
            </w:pPr>
          </w:p>
        </w:tc>
        <w:tc>
          <w:tcPr>
            <w:tcW w:w="730" w:type="dxa"/>
            <w:vAlign w:val="center"/>
          </w:tcPr>
          <w:p>
            <w:pPr>
              <w:adjustRightInd/>
              <w:spacing w:line="276" w:lineRule="auto"/>
              <w:jc w:val="center"/>
              <w:rPr>
                <w:rFonts w:ascii="宋体" w:hAnsi="宋体"/>
                <w:kern w:val="21"/>
                <w:sz w:val="18"/>
                <w:szCs w:val="18"/>
              </w:rPr>
            </w:pPr>
          </w:p>
        </w:tc>
        <w:tc>
          <w:tcPr>
            <w:tcW w:w="1696"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5" w:type="dxa"/>
            <w:vAlign w:val="center"/>
          </w:tcPr>
          <w:p>
            <w:pPr>
              <w:adjustRightInd/>
              <w:spacing w:line="276" w:lineRule="auto"/>
              <w:jc w:val="center"/>
              <w:rPr>
                <w:rFonts w:ascii="宋体" w:hAns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vAlign w:val="center"/>
          </w:tcPr>
          <w:p>
            <w:pPr>
              <w:adjustRightInd/>
              <w:spacing w:line="276" w:lineRule="auto"/>
              <w:jc w:val="center"/>
              <w:rPr>
                <w:rFonts w:ascii="宋体" w:hAnsi="Times New Roman"/>
                <w:kern w:val="21"/>
                <w:szCs w:val="20"/>
              </w:rPr>
            </w:pPr>
            <w:r>
              <w:rPr>
                <w:rFonts w:hint="eastAsia" w:ascii="宋体" w:hAnsi="Times New Roman"/>
                <w:kern w:val="21"/>
                <w:szCs w:val="20"/>
              </w:rPr>
              <w:t>运输</w:t>
            </w:r>
          </w:p>
        </w:tc>
        <w:tc>
          <w:tcPr>
            <w:tcW w:w="1510" w:type="dxa"/>
            <w:vAlign w:val="center"/>
          </w:tcPr>
          <w:p>
            <w:pPr>
              <w:adjustRightInd/>
              <w:spacing w:line="276" w:lineRule="auto"/>
              <w:jc w:val="center"/>
              <w:rPr>
                <w:rFonts w:ascii="宋体" w:hAnsi="宋体"/>
                <w:kern w:val="21"/>
                <w:sz w:val="18"/>
                <w:szCs w:val="18"/>
              </w:rPr>
            </w:pPr>
            <w:r>
              <w:rPr>
                <w:rFonts w:hint="eastAsia" w:ascii="宋体" w:hAnsi="宋体"/>
                <w:kern w:val="21"/>
                <w:sz w:val="18"/>
                <w:szCs w:val="18"/>
              </w:rPr>
              <w:t>公路运输</w:t>
            </w:r>
          </w:p>
        </w:tc>
        <w:tc>
          <w:tcPr>
            <w:tcW w:w="1056" w:type="dxa"/>
            <w:vAlign w:val="center"/>
          </w:tcPr>
          <w:p>
            <w:pPr>
              <w:adjustRightInd/>
              <w:spacing w:line="276" w:lineRule="auto"/>
              <w:jc w:val="center"/>
              <w:rPr>
                <w:rFonts w:ascii="宋体" w:hAnsi="宋体"/>
                <w:kern w:val="21"/>
                <w:sz w:val="18"/>
                <w:szCs w:val="18"/>
              </w:rPr>
            </w:pPr>
          </w:p>
        </w:tc>
        <w:tc>
          <w:tcPr>
            <w:tcW w:w="730" w:type="dxa"/>
            <w:vAlign w:val="center"/>
          </w:tcPr>
          <w:p>
            <w:pPr>
              <w:adjustRightInd/>
              <w:spacing w:line="276" w:lineRule="auto"/>
              <w:jc w:val="center"/>
              <w:rPr>
                <w:rFonts w:ascii="宋体" w:hAnsi="宋体"/>
                <w:kern w:val="21"/>
                <w:sz w:val="18"/>
                <w:szCs w:val="18"/>
              </w:rPr>
            </w:pPr>
          </w:p>
        </w:tc>
        <w:tc>
          <w:tcPr>
            <w:tcW w:w="1696"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5" w:type="dxa"/>
            <w:vAlign w:val="center"/>
          </w:tcPr>
          <w:p>
            <w:pPr>
              <w:adjustRightInd/>
              <w:spacing w:line="276" w:lineRule="auto"/>
              <w:jc w:val="center"/>
              <w:rPr>
                <w:rFonts w:ascii="宋体" w:hAns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adjustRightInd/>
              <w:spacing w:line="276" w:lineRule="auto"/>
              <w:jc w:val="center"/>
              <w:rPr>
                <w:rFonts w:ascii="宋体" w:hAnsi="Times New Roman"/>
                <w:kern w:val="21"/>
                <w:szCs w:val="20"/>
              </w:rPr>
            </w:pPr>
          </w:p>
        </w:tc>
        <w:tc>
          <w:tcPr>
            <w:tcW w:w="1510" w:type="dxa"/>
            <w:vAlign w:val="center"/>
          </w:tcPr>
          <w:p>
            <w:pPr>
              <w:adjustRightInd/>
              <w:spacing w:line="276" w:lineRule="auto"/>
              <w:jc w:val="center"/>
              <w:rPr>
                <w:rFonts w:ascii="宋体" w:hAnsi="宋体"/>
                <w:kern w:val="21"/>
                <w:sz w:val="18"/>
                <w:szCs w:val="18"/>
              </w:rPr>
            </w:pPr>
            <w:r>
              <w:rPr>
                <w:rFonts w:hint="eastAsia" w:ascii="宋体" w:hAnsi="宋体"/>
                <w:kern w:val="21"/>
                <w:sz w:val="18"/>
                <w:szCs w:val="18"/>
              </w:rPr>
              <w:t>铁路运输</w:t>
            </w:r>
          </w:p>
        </w:tc>
        <w:tc>
          <w:tcPr>
            <w:tcW w:w="1056" w:type="dxa"/>
            <w:vAlign w:val="center"/>
          </w:tcPr>
          <w:p>
            <w:pPr>
              <w:adjustRightInd/>
              <w:spacing w:line="276" w:lineRule="auto"/>
              <w:jc w:val="center"/>
              <w:rPr>
                <w:rFonts w:ascii="宋体" w:hAnsi="宋体"/>
                <w:kern w:val="21"/>
                <w:sz w:val="18"/>
                <w:szCs w:val="18"/>
              </w:rPr>
            </w:pPr>
          </w:p>
        </w:tc>
        <w:tc>
          <w:tcPr>
            <w:tcW w:w="730" w:type="dxa"/>
            <w:vAlign w:val="center"/>
          </w:tcPr>
          <w:p>
            <w:pPr>
              <w:adjustRightInd/>
              <w:spacing w:line="276" w:lineRule="auto"/>
              <w:jc w:val="center"/>
              <w:rPr>
                <w:rFonts w:ascii="宋体" w:hAnsi="宋体"/>
                <w:kern w:val="21"/>
                <w:sz w:val="18"/>
                <w:szCs w:val="18"/>
              </w:rPr>
            </w:pPr>
          </w:p>
        </w:tc>
        <w:tc>
          <w:tcPr>
            <w:tcW w:w="1696"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5" w:type="dxa"/>
            <w:vAlign w:val="center"/>
          </w:tcPr>
          <w:p>
            <w:pPr>
              <w:adjustRightInd/>
              <w:spacing w:line="276" w:lineRule="auto"/>
              <w:jc w:val="center"/>
              <w:rPr>
                <w:rFonts w:ascii="宋体" w:hAnsi="宋体"/>
                <w:kern w:val="21"/>
                <w:sz w:val="18"/>
                <w:szCs w:val="18"/>
              </w:rPr>
            </w:pPr>
          </w:p>
        </w:tc>
      </w:tr>
    </w:tbl>
    <w:p>
      <w:pPr>
        <w:pStyle w:val="58"/>
        <w:ind w:firstLine="420"/>
      </w:pPr>
    </w:p>
    <w:p>
      <w:pPr>
        <w:pStyle w:val="58"/>
        <w:ind w:firstLine="420"/>
      </w:pPr>
    </w:p>
    <w:p>
      <w:pPr>
        <w:pStyle w:val="58"/>
        <w:ind w:firstLine="420"/>
      </w:pPr>
    </w:p>
    <w:p>
      <w:pPr>
        <w:pStyle w:val="58"/>
        <w:ind w:firstLine="420"/>
      </w:pPr>
    </w:p>
    <w:p>
      <w:pPr>
        <w:pStyle w:val="58"/>
        <w:spacing w:line="360" w:lineRule="auto"/>
        <w:ind w:firstLine="199" w:firstLineChars="95"/>
        <w:sectPr>
          <w:pgSz w:w="11906" w:h="16838"/>
          <w:pgMar w:top="567" w:right="1134" w:bottom="1134" w:left="1134" w:header="1418" w:footer="1134" w:gutter="284"/>
          <w:cols w:space="425" w:num="1"/>
          <w:formProt w:val="0"/>
          <w:docGrid w:type="lines" w:linePitch="312" w:charSpace="0"/>
        </w:sectPr>
      </w:pPr>
    </w:p>
    <w:p>
      <w:pPr>
        <w:pStyle w:val="200"/>
        <w:rPr>
          <w:vanish w:val="0"/>
        </w:rPr>
      </w:pPr>
    </w:p>
    <w:p>
      <w:pPr>
        <w:pStyle w:val="201"/>
        <w:rPr>
          <w:vanish w:val="0"/>
        </w:rPr>
      </w:pPr>
    </w:p>
    <w:p>
      <w:pPr>
        <w:pStyle w:val="78"/>
        <w:spacing w:before="78" w:after="156"/>
      </w:pPr>
      <w:r>
        <w:br w:type="textWrapping"/>
      </w:r>
      <w:bookmarkStart w:id="170" w:name="_Toc201828356"/>
      <w:r>
        <w:rPr>
          <w:rFonts w:hint="eastAsia"/>
        </w:rPr>
        <w:t>（规范性）</w:t>
      </w:r>
      <w:r>
        <w:br w:type="textWrapping"/>
      </w:r>
      <w:r>
        <w:rPr>
          <w:rFonts w:hint="eastAsia"/>
        </w:rPr>
        <w:t>数据质量评级</w:t>
      </w:r>
      <w:bookmarkEnd w:id="170"/>
    </w:p>
    <w:p>
      <w:pPr>
        <w:pStyle w:val="80"/>
        <w:spacing w:before="156" w:after="156"/>
      </w:pPr>
      <w:r>
        <w:rPr>
          <w:rFonts w:hint="eastAsia"/>
        </w:rPr>
        <w:t>数据质量要求</w:t>
      </w:r>
    </w:p>
    <w:p>
      <w:pPr>
        <w:pStyle w:val="58"/>
        <w:ind w:firstLine="420"/>
      </w:pPr>
      <w:r>
        <w:rPr>
          <w:rFonts w:hint="eastAsia"/>
        </w:rPr>
        <w:t>煤制乙二醇产品碳足迹量化过程中使用的数据应通过使用现有最高质量的数据，尽可能地减少偏差和不确定性。数据质量应从技术代表性、地理代表性、时间代表性</w:t>
      </w:r>
      <w:r>
        <w:t>3</w:t>
      </w:r>
      <w:r>
        <w:rPr>
          <w:rFonts w:hint="eastAsia"/>
        </w:rPr>
        <w:t>个方面计算。计算见公式（</w:t>
      </w:r>
      <w:r>
        <w:t>E</w:t>
      </w:r>
      <w:r>
        <w:rPr>
          <w:rFonts w:hint="eastAsia"/>
        </w:rPr>
        <w:t>.1）。</w:t>
      </w:r>
    </w:p>
    <w:p>
      <w:pPr>
        <w:pStyle w:val="115"/>
      </w:pPr>
      <w:r>
        <w:tab/>
      </w:r>
      <m:oMath>
        <m:r>
          <m:rPr/>
          <w:rPr>
            <w:rFonts w:ascii="Cambria Math" w:hAnsi="Cambria Math"/>
          </w:rPr>
          <m:t>DQR=</m:t>
        </m:r>
        <m:f>
          <m:fPr>
            <m:ctrlPr>
              <w:rPr>
                <w:rFonts w:ascii="Cambria Math" w:hAnsi="Cambria Math"/>
                <w:i/>
              </w:rPr>
            </m:ctrlPr>
          </m:fPr>
          <m:num>
            <m:r>
              <m:rPr/>
              <w:rPr>
                <w:rFonts w:ascii="Cambria Math" w:hAnsi="Cambria Math"/>
              </w:rPr>
              <m:t>TeR+GeR+TiR</m:t>
            </m:r>
            <m:ctrlPr>
              <w:rPr>
                <w:rFonts w:ascii="Cambria Math" w:hAnsi="Cambria Math"/>
                <w:i/>
              </w:rPr>
            </m:ctrlPr>
          </m:num>
          <m:den>
            <m:r>
              <m:rPr/>
              <w:rPr>
                <w:rFonts w:ascii="Cambria Math" w:hAnsi="Cambria Math"/>
              </w:rPr>
              <m:t>3</m:t>
            </m:r>
            <m:ctrlPr>
              <w:rPr>
                <w:rFonts w:ascii="Cambria Math" w:hAnsi="Cambria Math"/>
                <w:i/>
              </w:rPr>
            </m:ctrlPr>
          </m:den>
        </m:f>
      </m:oMath>
      <w:r>
        <w:rPr>
          <w:rFonts w:ascii="微软雅黑" w:hAnsi="微软雅黑" w:eastAsia="微软雅黑"/>
        </w:rPr>
        <w:tab/>
      </w:r>
      <w:r>
        <w:t>(E.</w:t>
      </w:r>
      <w:r>
        <w:fldChar w:fldCharType="begin"/>
      </w:r>
      <w:r>
        <w:instrText xml:space="preserve"> seq fulu_equation_133953803331776851 </w:instrText>
      </w:r>
      <w:r>
        <w:fldChar w:fldCharType="separate"/>
      </w:r>
      <w:r>
        <w:t>1</w:t>
      </w:r>
      <w:r>
        <w:fldChar w:fldCharType="end"/>
      </w:r>
      <w:r>
        <w:t>)</w:t>
      </w:r>
    </w:p>
    <w:p>
      <w:pPr>
        <w:pStyle w:val="57"/>
        <w:ind w:firstLine="420"/>
      </w:pPr>
      <w:r>
        <w:rPr>
          <w:rFonts w:hint="eastAsia"/>
        </w:rPr>
        <w:t>式中：</w:t>
      </w:r>
    </w:p>
    <w:p>
      <w:pPr>
        <w:pStyle w:val="58"/>
        <w:ind w:firstLine="420"/>
      </w:pPr>
      <w:r>
        <w:rPr>
          <w:rFonts w:hint="eastAsia"/>
        </w:rPr>
        <w:t>TeR:技术代表性；</w:t>
      </w:r>
    </w:p>
    <w:p>
      <w:pPr>
        <w:pStyle w:val="58"/>
        <w:ind w:firstLine="420"/>
      </w:pPr>
      <w:r>
        <w:rPr>
          <w:rFonts w:hint="eastAsia"/>
        </w:rPr>
        <w:t>GeR:地理代表性；</w:t>
      </w:r>
    </w:p>
    <w:p>
      <w:pPr>
        <w:pStyle w:val="58"/>
        <w:ind w:firstLine="420"/>
      </w:pPr>
      <w:r>
        <w:rPr>
          <w:rFonts w:hint="eastAsia"/>
        </w:rPr>
        <w:t>TiR:时间代表性；</w:t>
      </w:r>
    </w:p>
    <w:p>
      <w:pPr>
        <w:pStyle w:val="79"/>
        <w:spacing w:before="156" w:after="156"/>
      </w:pPr>
      <w:r>
        <w:rPr>
          <w:rFonts w:hint="eastAsia"/>
        </w:rPr>
        <w:t>DQR各维度赋分评价结果和赋值规则</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841"/>
        <w:gridCol w:w="1920"/>
        <w:gridCol w:w="3183"/>
        <w:gridCol w:w="25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1" w:type="dxa"/>
            <w:tcBorders>
              <w:top w:val="single" w:color="auto" w:sz="8" w:space="0"/>
              <w:bottom w:val="single" w:color="auto" w:sz="8" w:space="0"/>
            </w:tcBorders>
            <w:shd w:val="clear" w:color="auto" w:fill="auto"/>
            <w:vAlign w:val="center"/>
          </w:tcPr>
          <w:p>
            <w:pPr>
              <w:pStyle w:val="180"/>
            </w:pPr>
            <w:r>
              <w:rPr>
                <w:rFonts w:hint="eastAsia"/>
              </w:rPr>
              <w:t>质量赋分</w:t>
            </w:r>
          </w:p>
        </w:tc>
        <w:tc>
          <w:tcPr>
            <w:tcW w:w="1920" w:type="dxa"/>
            <w:tcBorders>
              <w:top w:val="single" w:color="auto" w:sz="8" w:space="0"/>
              <w:bottom w:val="single" w:color="auto" w:sz="8" w:space="0"/>
            </w:tcBorders>
            <w:shd w:val="clear" w:color="auto" w:fill="auto"/>
            <w:vAlign w:val="center"/>
          </w:tcPr>
          <w:p>
            <w:pPr>
              <w:pStyle w:val="180"/>
            </w:pPr>
            <w:r>
              <w:rPr>
                <w:rFonts w:hint="eastAsia"/>
              </w:rPr>
              <w:t>TeR</w:t>
            </w:r>
          </w:p>
        </w:tc>
        <w:tc>
          <w:tcPr>
            <w:tcW w:w="3183" w:type="dxa"/>
            <w:tcBorders>
              <w:top w:val="single" w:color="auto" w:sz="8" w:space="0"/>
              <w:bottom w:val="single" w:color="auto" w:sz="8" w:space="0"/>
            </w:tcBorders>
            <w:shd w:val="clear" w:color="auto" w:fill="auto"/>
            <w:vAlign w:val="center"/>
          </w:tcPr>
          <w:p>
            <w:pPr>
              <w:pStyle w:val="180"/>
            </w:pPr>
            <w:r>
              <w:rPr>
                <w:rFonts w:hint="eastAsia"/>
              </w:rPr>
              <w:t>GeR</w:t>
            </w:r>
          </w:p>
        </w:tc>
        <w:tc>
          <w:tcPr>
            <w:tcW w:w="2551" w:type="dxa"/>
            <w:tcBorders>
              <w:top w:val="single" w:color="auto" w:sz="8" w:space="0"/>
              <w:bottom w:val="single" w:color="auto" w:sz="8" w:space="0"/>
            </w:tcBorders>
            <w:shd w:val="clear" w:color="auto" w:fill="auto"/>
            <w:vAlign w:val="center"/>
          </w:tcPr>
          <w:p>
            <w:pPr>
              <w:pStyle w:val="180"/>
            </w:pPr>
            <w:r>
              <w:rPr>
                <w:rFonts w:hint="eastAsia"/>
              </w:rPr>
              <w:t>TiR</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top w:val="single" w:color="auto" w:sz="8" w:space="0"/>
            </w:tcBorders>
            <w:shd w:val="clear" w:color="auto" w:fill="auto"/>
            <w:vAlign w:val="center"/>
          </w:tcPr>
          <w:p>
            <w:pPr>
              <w:pStyle w:val="180"/>
            </w:pPr>
            <w:r>
              <w:rPr>
                <w:rFonts w:hint="eastAsia"/>
              </w:rPr>
              <w:t>1</w:t>
            </w:r>
          </w:p>
        </w:tc>
        <w:tc>
          <w:tcPr>
            <w:tcW w:w="1920" w:type="dxa"/>
            <w:tcBorders>
              <w:top w:val="single" w:color="auto" w:sz="8" w:space="0"/>
            </w:tcBorders>
            <w:shd w:val="clear" w:color="auto" w:fill="auto"/>
            <w:vAlign w:val="center"/>
          </w:tcPr>
          <w:p>
            <w:pPr>
              <w:pStyle w:val="180"/>
              <w:jc w:val="left"/>
            </w:pPr>
            <w:r>
              <w:rPr>
                <w:rFonts w:hint="eastAsia"/>
              </w:rPr>
              <w:t>建模技术与数据集范围内的技术完全相同。</w:t>
            </w:r>
          </w:p>
        </w:tc>
        <w:tc>
          <w:tcPr>
            <w:tcW w:w="3183" w:type="dxa"/>
            <w:tcBorders>
              <w:top w:val="single" w:color="auto" w:sz="8" w:space="0"/>
            </w:tcBorders>
            <w:shd w:val="clear" w:color="auto" w:fill="auto"/>
            <w:vAlign w:val="center"/>
          </w:tcPr>
          <w:p>
            <w:pPr>
              <w:pStyle w:val="180"/>
              <w:jc w:val="left"/>
            </w:pPr>
            <w:r>
              <w:rPr>
                <w:rFonts w:hint="eastAsia"/>
              </w:rPr>
              <w:t>建模过程与数据集为同一个国家。</w:t>
            </w:r>
          </w:p>
        </w:tc>
        <w:tc>
          <w:tcPr>
            <w:tcW w:w="2551" w:type="dxa"/>
            <w:tcBorders>
              <w:top w:val="single" w:color="auto" w:sz="8" w:space="0"/>
            </w:tcBorders>
            <w:shd w:val="clear" w:color="auto" w:fill="auto"/>
            <w:vAlign w:val="center"/>
          </w:tcPr>
          <w:p>
            <w:pPr>
              <w:pStyle w:val="180"/>
              <w:jc w:val="left"/>
            </w:pPr>
            <w:r>
              <w:rPr>
                <w:rFonts w:hint="eastAsia"/>
              </w:rPr>
              <w:t>碳足迹数据发布的日期在数据集的有效期内。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pStyle w:val="180"/>
            </w:pPr>
            <w:r>
              <w:rPr>
                <w:rFonts w:hint="eastAsia"/>
              </w:rPr>
              <w:t>2</w:t>
            </w:r>
          </w:p>
        </w:tc>
        <w:tc>
          <w:tcPr>
            <w:tcW w:w="1920" w:type="dxa"/>
            <w:shd w:val="clear" w:color="auto" w:fill="auto"/>
            <w:vAlign w:val="center"/>
          </w:tcPr>
          <w:p>
            <w:pPr>
              <w:pStyle w:val="180"/>
              <w:jc w:val="left"/>
            </w:pPr>
            <w:r>
              <w:rPr>
                <w:rFonts w:hint="eastAsia"/>
              </w:rPr>
              <w:t>建模技术包含在数据集范围内的技术组合中。</w:t>
            </w:r>
          </w:p>
        </w:tc>
        <w:tc>
          <w:tcPr>
            <w:tcW w:w="3183" w:type="dxa"/>
            <w:shd w:val="clear" w:color="auto" w:fill="auto"/>
            <w:vAlign w:val="center"/>
          </w:tcPr>
          <w:p>
            <w:pPr>
              <w:pStyle w:val="180"/>
              <w:jc w:val="left"/>
            </w:pPr>
            <w:r>
              <w:rPr>
                <w:rFonts w:hint="eastAsia"/>
              </w:rPr>
              <w:t>建模过程与数据集为同一个地理区域。（如：亚洲、欧洲）</w:t>
            </w:r>
          </w:p>
        </w:tc>
        <w:tc>
          <w:tcPr>
            <w:tcW w:w="2551" w:type="dxa"/>
            <w:shd w:val="clear" w:color="auto" w:fill="auto"/>
            <w:vAlign w:val="center"/>
          </w:tcPr>
          <w:p>
            <w:pPr>
              <w:pStyle w:val="180"/>
              <w:jc w:val="left"/>
            </w:pPr>
            <w:r>
              <w:rPr>
                <w:rFonts w:hint="eastAsia"/>
              </w:rPr>
              <w:t xml:space="preserve">碳足迹数据发布的日期不超过数据集有效期的 </w:t>
            </w:r>
            <w:r>
              <w:t xml:space="preserve">2 </w:t>
            </w:r>
            <w:r>
              <w:rPr>
                <w:rFonts w:hint="eastAsia"/>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41" w:type="dxa"/>
            <w:shd w:val="clear" w:color="auto" w:fill="auto"/>
            <w:vAlign w:val="center"/>
          </w:tcPr>
          <w:p>
            <w:pPr>
              <w:pStyle w:val="180"/>
            </w:pPr>
            <w:r>
              <w:rPr>
                <w:rFonts w:hint="eastAsia"/>
              </w:rPr>
              <w:t>3</w:t>
            </w:r>
          </w:p>
        </w:tc>
        <w:tc>
          <w:tcPr>
            <w:tcW w:w="1920" w:type="dxa"/>
            <w:shd w:val="clear" w:color="auto" w:fill="auto"/>
            <w:vAlign w:val="center"/>
          </w:tcPr>
          <w:p>
            <w:pPr>
              <w:pStyle w:val="180"/>
              <w:jc w:val="left"/>
            </w:pPr>
            <w:r>
              <w:rPr>
                <w:rFonts w:hint="eastAsia"/>
              </w:rPr>
              <w:t>建模技术仅部分包含在数据集的范围内。</w:t>
            </w:r>
          </w:p>
        </w:tc>
        <w:tc>
          <w:tcPr>
            <w:tcW w:w="3183" w:type="dxa"/>
            <w:shd w:val="clear" w:color="auto" w:fill="auto"/>
            <w:vAlign w:val="center"/>
          </w:tcPr>
          <w:p>
            <w:pPr>
              <w:pStyle w:val="180"/>
              <w:jc w:val="left"/>
            </w:pPr>
            <w:r>
              <w:rPr>
                <w:rFonts w:hint="eastAsia"/>
              </w:rPr>
              <w:t>数据集覆盖了多个地理区域，建模过程发生在这些区域中。</w:t>
            </w:r>
          </w:p>
        </w:tc>
        <w:tc>
          <w:tcPr>
            <w:tcW w:w="2551" w:type="dxa"/>
            <w:shd w:val="clear" w:color="auto" w:fill="auto"/>
            <w:vAlign w:val="center"/>
          </w:tcPr>
          <w:p>
            <w:pPr>
              <w:pStyle w:val="180"/>
              <w:jc w:val="left"/>
            </w:pPr>
            <w:r>
              <w:rPr>
                <w:rFonts w:hint="eastAsia"/>
              </w:rPr>
              <w:t xml:space="preserve">碳足迹数据发布的日期不超过数据集有效期的 </w:t>
            </w:r>
            <w:r>
              <w:t xml:space="preserve">3 </w:t>
            </w:r>
            <w:r>
              <w:rPr>
                <w:rFonts w:hint="eastAsia"/>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pStyle w:val="180"/>
            </w:pPr>
            <w:r>
              <w:rPr>
                <w:rFonts w:hint="eastAsia"/>
              </w:rPr>
              <w:t>4</w:t>
            </w:r>
          </w:p>
        </w:tc>
        <w:tc>
          <w:tcPr>
            <w:tcW w:w="1920" w:type="dxa"/>
            <w:shd w:val="clear" w:color="auto" w:fill="auto"/>
            <w:vAlign w:val="center"/>
          </w:tcPr>
          <w:p>
            <w:pPr>
              <w:pStyle w:val="180"/>
              <w:jc w:val="left"/>
            </w:pPr>
            <w:r>
              <w:rPr>
                <w:rFonts w:hint="eastAsia"/>
              </w:rPr>
              <w:t>建模的技术与数据集范围内的技术相似。</w:t>
            </w:r>
          </w:p>
        </w:tc>
        <w:tc>
          <w:tcPr>
            <w:tcW w:w="3183" w:type="dxa"/>
            <w:shd w:val="clear" w:color="auto" w:fill="auto"/>
            <w:vAlign w:val="center"/>
          </w:tcPr>
          <w:p>
            <w:pPr>
              <w:pStyle w:val="180"/>
              <w:jc w:val="left"/>
            </w:pPr>
            <w:r>
              <w:rPr>
                <w:rFonts w:hint="eastAsia"/>
              </w:rPr>
              <w:t>建模过程发生在一个不属于数据集所覆盖地理区域的国家，但根据专家判断，有足够的相似性。</w:t>
            </w:r>
          </w:p>
        </w:tc>
        <w:tc>
          <w:tcPr>
            <w:tcW w:w="2551" w:type="dxa"/>
            <w:shd w:val="clear" w:color="auto" w:fill="auto"/>
            <w:vAlign w:val="center"/>
          </w:tcPr>
          <w:p>
            <w:pPr>
              <w:pStyle w:val="180"/>
              <w:jc w:val="left"/>
            </w:pPr>
            <w:r>
              <w:rPr>
                <w:rFonts w:hint="eastAsia"/>
              </w:rPr>
              <w:t xml:space="preserve">碳足迹数据发布的日期不超过数据集有效期的 </w:t>
            </w:r>
            <w:r>
              <w:t xml:space="preserve">4 </w:t>
            </w:r>
            <w:r>
              <w:rPr>
                <w:rFonts w:hint="eastAsia"/>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pStyle w:val="180"/>
            </w:pPr>
            <w:r>
              <w:rPr>
                <w:rFonts w:hint="eastAsia"/>
              </w:rPr>
              <w:t>5</w:t>
            </w:r>
          </w:p>
        </w:tc>
        <w:tc>
          <w:tcPr>
            <w:tcW w:w="1920" w:type="dxa"/>
            <w:shd w:val="clear" w:color="auto" w:fill="auto"/>
            <w:vAlign w:val="center"/>
          </w:tcPr>
          <w:p>
            <w:pPr>
              <w:pStyle w:val="180"/>
              <w:jc w:val="left"/>
            </w:pPr>
            <w:r>
              <w:rPr>
                <w:rFonts w:hint="eastAsia"/>
              </w:rPr>
              <w:t>建模的技术与数据集范围内的技术不同。</w:t>
            </w:r>
          </w:p>
        </w:tc>
        <w:tc>
          <w:tcPr>
            <w:tcW w:w="3183" w:type="dxa"/>
            <w:shd w:val="clear" w:color="auto" w:fill="auto"/>
            <w:vAlign w:val="center"/>
          </w:tcPr>
          <w:p>
            <w:pPr>
              <w:pStyle w:val="180"/>
              <w:jc w:val="left"/>
            </w:pPr>
            <w:r>
              <w:rPr>
                <w:rFonts w:hint="eastAsia"/>
              </w:rPr>
              <w:t xml:space="preserve">建模过程发生 </w:t>
            </w:r>
            <w:r>
              <w:t xml:space="preserve">1-4 </w:t>
            </w:r>
            <w:r>
              <w:rPr>
                <w:rFonts w:hint="eastAsia"/>
              </w:rPr>
              <w:t>未列出的其他情况。</w:t>
            </w:r>
          </w:p>
        </w:tc>
        <w:tc>
          <w:tcPr>
            <w:tcW w:w="2551" w:type="dxa"/>
            <w:shd w:val="clear" w:color="auto" w:fill="auto"/>
            <w:vAlign w:val="center"/>
          </w:tcPr>
          <w:p>
            <w:pPr>
              <w:pStyle w:val="180"/>
              <w:jc w:val="left"/>
            </w:pPr>
            <w:r>
              <w:rPr>
                <w:rFonts w:hint="eastAsia"/>
              </w:rPr>
              <w:t xml:space="preserve">碳足迹数据发布的日期超过数据集有效期的 </w:t>
            </w:r>
            <w:r>
              <w:t xml:space="preserve">4 </w:t>
            </w:r>
            <w:r>
              <w:rPr>
                <w:rFonts w:hint="eastAsia"/>
              </w:rPr>
              <w:t>年以上。</w:t>
            </w:r>
          </w:p>
        </w:tc>
      </w:tr>
    </w:tbl>
    <w:p>
      <w:pPr>
        <w:pStyle w:val="79"/>
        <w:spacing w:before="156" w:after="156"/>
      </w:pPr>
      <w:r>
        <w:rPr>
          <w:rFonts w:hint="eastAsia"/>
        </w:rPr>
        <w:t>DQR各维度定义</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825"/>
        <w:gridCol w:w="65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825" w:type="dxa"/>
            <w:tcBorders>
              <w:top w:val="single" w:color="auto" w:sz="8" w:space="0"/>
              <w:bottom w:val="single" w:color="auto" w:sz="8" w:space="0"/>
            </w:tcBorders>
            <w:shd w:val="clear" w:color="auto" w:fill="auto"/>
            <w:vAlign w:val="center"/>
          </w:tcPr>
          <w:p>
            <w:pPr>
              <w:pStyle w:val="180"/>
            </w:pPr>
            <w:r>
              <w:rPr>
                <w:rFonts w:hint="eastAsia"/>
              </w:rPr>
              <w:t>DQR各维度</w:t>
            </w:r>
          </w:p>
        </w:tc>
        <w:tc>
          <w:tcPr>
            <w:tcW w:w="6509" w:type="dxa"/>
            <w:tcBorders>
              <w:top w:val="single" w:color="auto" w:sz="8" w:space="0"/>
              <w:bottom w:val="single" w:color="auto" w:sz="8" w:space="0"/>
            </w:tcBorders>
            <w:shd w:val="clear" w:color="auto" w:fill="auto"/>
            <w:vAlign w:val="center"/>
          </w:tcPr>
          <w:p>
            <w:pPr>
              <w:pStyle w:val="180"/>
            </w:pPr>
            <w:r>
              <w:rPr>
                <w:rFonts w:hint="eastAsia"/>
              </w:rPr>
              <w:t>定义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25" w:type="dxa"/>
            <w:tcBorders>
              <w:top w:val="single" w:color="auto" w:sz="8" w:space="0"/>
            </w:tcBorders>
            <w:shd w:val="clear" w:color="auto" w:fill="auto"/>
            <w:vAlign w:val="center"/>
          </w:tcPr>
          <w:p>
            <w:pPr>
              <w:pStyle w:val="180"/>
            </w:pPr>
            <w:r>
              <w:rPr>
                <w:rFonts w:hint="eastAsia"/>
              </w:rPr>
              <w:t>技术代表性（TeR）</w:t>
            </w:r>
          </w:p>
        </w:tc>
        <w:tc>
          <w:tcPr>
            <w:tcW w:w="6509" w:type="dxa"/>
            <w:tcBorders>
              <w:top w:val="single" w:color="auto" w:sz="8" w:space="0"/>
            </w:tcBorders>
            <w:shd w:val="clear" w:color="auto" w:fill="auto"/>
            <w:vAlign w:val="center"/>
          </w:tcPr>
          <w:p>
            <w:pPr>
              <w:pStyle w:val="180"/>
              <w:jc w:val="both"/>
            </w:pPr>
            <w:r>
              <w:rPr>
                <w:rFonts w:hint="eastAsia"/>
              </w:rPr>
              <w:t>数据能够反映有关此项数据对应技术的程度，包括所包含的背景数据（如有）。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25" w:type="dxa"/>
            <w:shd w:val="clear" w:color="auto" w:fill="auto"/>
            <w:vAlign w:val="center"/>
          </w:tcPr>
          <w:p>
            <w:pPr>
              <w:pStyle w:val="180"/>
            </w:pPr>
            <w:r>
              <w:rPr>
                <w:rFonts w:hint="eastAsia"/>
              </w:rPr>
              <w:t>地理代表性（GeR）</w:t>
            </w:r>
          </w:p>
        </w:tc>
        <w:tc>
          <w:tcPr>
            <w:tcW w:w="6509" w:type="dxa"/>
            <w:shd w:val="clear" w:color="auto" w:fill="auto"/>
            <w:vAlign w:val="center"/>
          </w:tcPr>
          <w:p>
            <w:pPr>
              <w:pStyle w:val="180"/>
              <w:jc w:val="both"/>
            </w:pPr>
            <w:r>
              <w:rPr>
                <w:rFonts w:hint="eastAsia"/>
              </w:rPr>
              <w:t>收集</w:t>
            </w:r>
            <w:r>
              <w:t>数据所在的地理区域</w:t>
            </w:r>
            <w:r>
              <w:rPr>
                <w:rFonts w:hint="eastAsia"/>
              </w:rPr>
              <w:t>，</w:t>
            </w:r>
            <w:r>
              <w:t>以及</w:t>
            </w:r>
            <w:r>
              <w:rPr>
                <w:rFonts w:hint="eastAsia"/>
              </w:rPr>
              <w:t>针对具有地理特性</w:t>
            </w:r>
            <w:r>
              <w:t>的产品</w:t>
            </w:r>
            <w:r>
              <w:rPr>
                <w:rFonts w:hint="eastAsia"/>
              </w:rPr>
              <w:t>的具体</w:t>
            </w:r>
            <w:r>
              <w:t>数据</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825" w:type="dxa"/>
            <w:shd w:val="clear" w:color="auto" w:fill="auto"/>
            <w:vAlign w:val="center"/>
          </w:tcPr>
          <w:p>
            <w:pPr>
              <w:pStyle w:val="180"/>
            </w:pPr>
            <w:r>
              <w:rPr>
                <w:rFonts w:hint="eastAsia"/>
              </w:rPr>
              <w:t>时间</w:t>
            </w:r>
            <w:r>
              <w:t>代表性</w:t>
            </w:r>
            <w:r>
              <w:rPr>
                <w:rFonts w:hint="eastAsia"/>
              </w:rPr>
              <w:t>（TiR）</w:t>
            </w:r>
          </w:p>
        </w:tc>
        <w:tc>
          <w:tcPr>
            <w:tcW w:w="6509" w:type="dxa"/>
            <w:shd w:val="clear" w:color="auto" w:fill="auto"/>
            <w:vAlign w:val="center"/>
          </w:tcPr>
          <w:p>
            <w:pPr>
              <w:pStyle w:val="180"/>
              <w:jc w:val="both"/>
            </w:pPr>
            <w:r>
              <w:rPr>
                <w:rFonts w:hint="eastAsia"/>
              </w:rPr>
              <w:t>数据</w:t>
            </w:r>
            <w:r>
              <w:t>的年份</w:t>
            </w:r>
            <w:r>
              <w:rPr>
                <w:rFonts w:hint="eastAsia"/>
              </w:rPr>
              <w:t>和</w:t>
            </w:r>
            <w:r>
              <w:t>收集</w:t>
            </w:r>
            <w:r>
              <w:rPr>
                <w:rFonts w:hint="eastAsia"/>
              </w:rPr>
              <w:t>数据</w:t>
            </w:r>
            <w:r>
              <w:t>的最短</w:t>
            </w:r>
            <w:r>
              <w:rPr>
                <w:rFonts w:hint="eastAsia"/>
              </w:rPr>
              <w:t>时间</w:t>
            </w:r>
            <w:r>
              <w:t>期限</w:t>
            </w:r>
            <w:r>
              <w:rPr>
                <w:rFonts w:hint="eastAsia"/>
              </w:rPr>
              <w:t>。</w:t>
            </w:r>
          </w:p>
        </w:tc>
      </w:tr>
    </w:tbl>
    <w:p>
      <w:pPr>
        <w:pStyle w:val="79"/>
        <w:spacing w:before="156" w:after="156"/>
      </w:pPr>
      <w:r>
        <w:rPr>
          <w:rFonts w:hint="eastAsia"/>
        </w:rPr>
        <w:t>基于DQR的整体数据质量水平</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72"/>
        <w:gridCol w:w="46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72" w:type="dxa"/>
            <w:tcBorders>
              <w:top w:val="single" w:color="auto" w:sz="8" w:space="0"/>
              <w:bottom w:val="single" w:color="auto" w:sz="8" w:space="0"/>
            </w:tcBorders>
            <w:shd w:val="clear" w:color="auto" w:fill="auto"/>
            <w:vAlign w:val="center"/>
          </w:tcPr>
          <w:p>
            <w:pPr>
              <w:pStyle w:val="180"/>
            </w:pPr>
            <w:r>
              <w:rPr>
                <w:rFonts w:hint="eastAsia"/>
              </w:rPr>
              <w:t>DQR</w:t>
            </w:r>
          </w:p>
        </w:tc>
        <w:tc>
          <w:tcPr>
            <w:tcW w:w="4672" w:type="dxa"/>
            <w:tcBorders>
              <w:top w:val="single" w:color="auto" w:sz="8" w:space="0"/>
              <w:bottom w:val="single" w:color="auto" w:sz="8" w:space="0"/>
            </w:tcBorders>
            <w:shd w:val="clear" w:color="auto" w:fill="auto"/>
            <w:vAlign w:val="center"/>
          </w:tcPr>
          <w:p>
            <w:pPr>
              <w:pStyle w:val="180"/>
            </w:pPr>
            <w:r>
              <w:rPr>
                <w:rFonts w:hint="eastAsia"/>
              </w:rPr>
              <w:t>整体数据质量水平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tcBorders>
              <w:top w:val="single" w:color="auto" w:sz="8" w:space="0"/>
            </w:tcBorders>
            <w:shd w:val="clear" w:color="auto" w:fill="auto"/>
            <w:vAlign w:val="center"/>
          </w:tcPr>
          <w:p>
            <w:pPr>
              <w:pStyle w:val="180"/>
            </w:pPr>
            <w:r>
              <w:rPr>
                <w:rFonts w:hint="eastAsia"/>
              </w:rPr>
              <w:t>≤1.6</w:t>
            </w:r>
          </w:p>
        </w:tc>
        <w:tc>
          <w:tcPr>
            <w:tcW w:w="4672" w:type="dxa"/>
            <w:tcBorders>
              <w:top w:val="single" w:color="auto" w:sz="8" w:space="0"/>
            </w:tcBorders>
            <w:shd w:val="clear" w:color="auto" w:fill="auto"/>
            <w:vAlign w:val="center"/>
          </w:tcPr>
          <w:p>
            <w:pPr>
              <w:pStyle w:val="180"/>
            </w:pPr>
            <w:r>
              <w:rPr>
                <w:rFonts w:hint="eastAsia"/>
              </w:rPr>
              <w:t>非常好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shd w:val="clear" w:color="auto" w:fill="auto"/>
            <w:vAlign w:val="center"/>
          </w:tcPr>
          <w:p>
            <w:pPr>
              <w:pStyle w:val="180"/>
            </w:pPr>
            <w:r>
              <w:rPr>
                <w:rFonts w:hint="eastAsia"/>
              </w:rPr>
              <w:t>1.6至2.0</w:t>
            </w:r>
          </w:p>
        </w:tc>
        <w:tc>
          <w:tcPr>
            <w:tcW w:w="4672" w:type="dxa"/>
            <w:shd w:val="clear" w:color="auto" w:fill="auto"/>
            <w:vAlign w:val="center"/>
          </w:tcPr>
          <w:p>
            <w:pPr>
              <w:pStyle w:val="180"/>
            </w:pPr>
            <w:r>
              <w:rPr>
                <w:rFonts w:hint="eastAsia"/>
              </w:rPr>
              <w:t>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672" w:type="dxa"/>
            <w:shd w:val="clear" w:color="auto" w:fill="auto"/>
            <w:vAlign w:val="center"/>
          </w:tcPr>
          <w:p>
            <w:pPr>
              <w:pStyle w:val="180"/>
            </w:pPr>
            <w:r>
              <w:rPr>
                <w:rFonts w:hint="eastAsia"/>
              </w:rPr>
              <w:t>2.0至3.0</w:t>
            </w:r>
          </w:p>
        </w:tc>
        <w:tc>
          <w:tcPr>
            <w:tcW w:w="4672" w:type="dxa"/>
            <w:shd w:val="clear" w:color="auto" w:fill="auto"/>
            <w:vAlign w:val="center"/>
          </w:tcPr>
          <w:p>
            <w:pPr>
              <w:pStyle w:val="180"/>
            </w:pPr>
            <w:r>
              <w:rPr>
                <w:rFonts w:hint="eastAsia"/>
              </w:rPr>
              <w:t>中等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shd w:val="clear" w:color="auto" w:fill="auto"/>
            <w:vAlign w:val="center"/>
          </w:tcPr>
          <w:p>
            <w:pPr>
              <w:pStyle w:val="180"/>
            </w:pPr>
            <w:r>
              <w:rPr>
                <w:rFonts w:hint="eastAsia"/>
              </w:rPr>
              <w:t>3.0至4.0</w:t>
            </w:r>
          </w:p>
        </w:tc>
        <w:tc>
          <w:tcPr>
            <w:tcW w:w="4672" w:type="dxa"/>
            <w:shd w:val="clear" w:color="auto" w:fill="auto"/>
            <w:vAlign w:val="center"/>
          </w:tcPr>
          <w:p>
            <w:pPr>
              <w:pStyle w:val="180"/>
            </w:pPr>
            <w:r>
              <w:rPr>
                <w:rFonts w:hint="eastAsia"/>
              </w:rPr>
              <w:t>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shd w:val="clear" w:color="auto" w:fill="auto"/>
            <w:vAlign w:val="center"/>
          </w:tcPr>
          <w:p>
            <w:pPr>
              <w:pStyle w:val="180"/>
            </w:pPr>
            <w:r>
              <w:rPr>
                <w:rFonts w:hint="eastAsia"/>
              </w:rPr>
              <w:t>＞4</w:t>
            </w:r>
          </w:p>
        </w:tc>
        <w:tc>
          <w:tcPr>
            <w:tcW w:w="4672" w:type="dxa"/>
            <w:shd w:val="clear" w:color="auto" w:fill="auto"/>
            <w:vAlign w:val="center"/>
          </w:tcPr>
          <w:p>
            <w:pPr>
              <w:pStyle w:val="180"/>
            </w:pPr>
            <w:r>
              <w:rPr>
                <w:rFonts w:hint="eastAsia"/>
              </w:rPr>
              <w:t>非常差</w:t>
            </w:r>
          </w:p>
        </w:tc>
      </w:tr>
    </w:tbl>
    <w:p>
      <w:pPr>
        <w:pStyle w:val="58"/>
        <w:ind w:firstLine="0" w:firstLineChars="0"/>
      </w:pPr>
    </w:p>
    <w:p>
      <w:pPr>
        <w:pStyle w:val="58"/>
        <w:spacing w:line="360" w:lineRule="auto"/>
        <w:ind w:firstLine="199" w:firstLineChars="95"/>
        <w:sectPr>
          <w:pgSz w:w="11906" w:h="16838"/>
          <w:pgMar w:top="567" w:right="1134" w:bottom="1134" w:left="1134" w:header="1418" w:footer="1134" w:gutter="284"/>
          <w:cols w:space="425" w:num="1"/>
          <w:formProt w:val="0"/>
          <w:docGrid w:type="lines" w:linePitch="312" w:charSpace="0"/>
        </w:sectPr>
      </w:pPr>
    </w:p>
    <w:p>
      <w:pPr>
        <w:pStyle w:val="200"/>
        <w:rPr>
          <w:vanish w:val="0"/>
        </w:rPr>
      </w:pPr>
    </w:p>
    <w:p>
      <w:pPr>
        <w:pStyle w:val="201"/>
        <w:rPr>
          <w:vanish w:val="0"/>
        </w:rPr>
      </w:pPr>
    </w:p>
    <w:p>
      <w:pPr>
        <w:pStyle w:val="78"/>
        <w:spacing w:before="78" w:after="156"/>
      </w:pPr>
      <w:r>
        <w:br w:type="textWrapping"/>
      </w:r>
      <w:bookmarkStart w:id="171" w:name="_Toc201828357"/>
      <w:r>
        <w:rPr>
          <w:rFonts w:hint="eastAsia"/>
        </w:rPr>
        <w:t>（资料性）</w:t>
      </w:r>
      <w:r>
        <w:br w:type="textWrapping"/>
      </w:r>
      <w:r>
        <w:rPr>
          <w:rFonts w:hint="eastAsia"/>
        </w:rPr>
        <w:t>GWP参考值</w:t>
      </w:r>
      <w:bookmarkEnd w:id="171"/>
    </w:p>
    <w:p>
      <w:pPr>
        <w:pStyle w:val="58"/>
        <w:ind w:firstLine="420"/>
      </w:pPr>
      <w:r>
        <w:rPr>
          <w:rFonts w:hint="eastAsia"/>
        </w:rPr>
        <w:t>部分GHG的GWP参考值</w:t>
      </w:r>
      <w:r>
        <w:t>见表</w:t>
      </w:r>
      <w:r>
        <w:rPr>
          <w:rFonts w:hint="eastAsia"/>
        </w:rPr>
        <w:t>F.1。</w:t>
      </w:r>
    </w:p>
    <w:p>
      <w:pPr>
        <w:pStyle w:val="79"/>
        <w:spacing w:before="156" w:after="156"/>
      </w:pPr>
      <w:r>
        <w:rPr>
          <w:rFonts w:hint="eastAsia"/>
        </w:rPr>
        <w:t>部分G</w:t>
      </w:r>
      <w:r>
        <w:t>HG</w:t>
      </w:r>
      <w:r>
        <w:rPr>
          <w:rFonts w:hint="eastAsia"/>
        </w:rPr>
        <w:t>的</w:t>
      </w:r>
      <w:r>
        <w:rPr>
          <w:rFonts w:hint="eastAsia"/>
          <w:i/>
        </w:rPr>
        <w:t>G</w:t>
      </w:r>
      <w:r>
        <w:rPr>
          <w:i/>
        </w:rPr>
        <w:t>WP</w:t>
      </w:r>
      <w:r>
        <w:rPr>
          <w:rFonts w:hint="eastAsia"/>
        </w:rPr>
        <w:t>参考值</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jc w:val="center"/>
              <w:rPr>
                <w:rFonts w:ascii="宋体" w:hAnsi="宋体"/>
                <w:sz w:val="18"/>
                <w:szCs w:val="18"/>
              </w:rPr>
            </w:pPr>
            <w:r>
              <w:rPr>
                <w:rFonts w:hint="eastAsia" w:ascii="宋体" w:hAnsi="宋体"/>
                <w:sz w:val="18"/>
                <w:szCs w:val="18"/>
              </w:rPr>
              <w:t>气体</w:t>
            </w:r>
            <w:r>
              <w:rPr>
                <w:rFonts w:ascii="宋体" w:hAnsi="宋体"/>
                <w:sz w:val="18"/>
                <w:szCs w:val="18"/>
              </w:rPr>
              <w:t>名称</w:t>
            </w:r>
          </w:p>
        </w:tc>
        <w:tc>
          <w:tcPr>
            <w:tcW w:w="2765" w:type="dxa"/>
            <w:vAlign w:val="center"/>
          </w:tcPr>
          <w:p>
            <w:pPr>
              <w:jc w:val="center"/>
              <w:rPr>
                <w:rFonts w:ascii="宋体" w:hAnsi="宋体"/>
                <w:sz w:val="18"/>
                <w:szCs w:val="18"/>
              </w:rPr>
            </w:pPr>
            <w:r>
              <w:rPr>
                <w:rFonts w:hint="eastAsia" w:ascii="宋体" w:hAnsi="宋体"/>
                <w:sz w:val="18"/>
                <w:szCs w:val="18"/>
              </w:rPr>
              <w:t>化学</w:t>
            </w:r>
            <w:r>
              <w:rPr>
                <w:rFonts w:ascii="宋体" w:hAnsi="宋体"/>
                <w:sz w:val="18"/>
                <w:szCs w:val="18"/>
              </w:rPr>
              <w:t>分子式</w:t>
            </w:r>
          </w:p>
        </w:tc>
        <w:tc>
          <w:tcPr>
            <w:tcW w:w="2766" w:type="dxa"/>
            <w:vAlign w:val="center"/>
          </w:tcPr>
          <w:p>
            <w:pPr>
              <w:jc w:val="center"/>
              <w:rPr>
                <w:rFonts w:ascii="宋体" w:hAnsi="宋体"/>
                <w:sz w:val="18"/>
                <w:szCs w:val="18"/>
              </w:rPr>
            </w:pPr>
            <w:r>
              <w:rPr>
                <w:rFonts w:hint="eastAsia" w:ascii="宋体" w:hAnsi="宋体"/>
                <w:sz w:val="18"/>
                <w:szCs w:val="18"/>
              </w:rPr>
              <w:t>100年</w:t>
            </w:r>
            <w:r>
              <w:rPr>
                <w:rFonts w:ascii="宋体" w:hAnsi="宋体"/>
                <w:sz w:val="18"/>
                <w:szCs w:val="18"/>
              </w:rPr>
              <w:t>的</w:t>
            </w:r>
            <w:r>
              <w:rPr>
                <w:rFonts w:hint="eastAsia" w:ascii="宋体" w:hAnsi="宋体"/>
                <w:sz w:val="18"/>
                <w:szCs w:val="18"/>
              </w:rPr>
              <w:t>GWP（截至</w:t>
            </w:r>
            <w:r>
              <w:rPr>
                <w:rFonts w:ascii="宋体" w:hAnsi="宋体"/>
                <w:sz w:val="18"/>
                <w:szCs w:val="18"/>
              </w:rPr>
              <w:t>出版时</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ascii="宋体" w:hAnsi="宋体"/>
                <w:spacing w:val="-1"/>
                <w:sz w:val="18"/>
                <w:szCs w:val="18"/>
              </w:rPr>
              <w:t>二氧化碳</w:t>
            </w:r>
          </w:p>
        </w:tc>
        <w:tc>
          <w:tcPr>
            <w:tcW w:w="2765" w:type="dxa"/>
          </w:tcPr>
          <w:p>
            <w:pPr>
              <w:jc w:val="center"/>
              <w:rPr>
                <w:rFonts w:ascii="宋体" w:hAnsi="宋体"/>
                <w:sz w:val="18"/>
                <w:szCs w:val="18"/>
              </w:rPr>
            </w:pPr>
            <w:r>
              <w:rPr>
                <w:rFonts w:ascii="宋体" w:hAnsi="宋体"/>
                <w:spacing w:val="-1"/>
                <w:sz w:val="18"/>
                <w:szCs w:val="18"/>
              </w:rPr>
              <w:t>CO</w:t>
            </w:r>
            <w:r>
              <w:rPr>
                <w:rFonts w:ascii="宋体" w:hAnsi="宋体"/>
                <w:spacing w:val="-1"/>
                <w:sz w:val="18"/>
                <w:szCs w:val="18"/>
                <w:vertAlign w:val="subscript"/>
              </w:rPr>
              <w:t>2</w:t>
            </w:r>
          </w:p>
        </w:tc>
        <w:tc>
          <w:tcPr>
            <w:tcW w:w="2766" w:type="dxa"/>
          </w:tcPr>
          <w:p>
            <w:pPr>
              <w:jc w:val="center"/>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ascii="宋体" w:hAnsi="宋体"/>
                <w:spacing w:val="-3"/>
                <w:sz w:val="18"/>
                <w:szCs w:val="18"/>
              </w:rPr>
              <w:t>甲烷</w:t>
            </w:r>
          </w:p>
        </w:tc>
        <w:tc>
          <w:tcPr>
            <w:tcW w:w="2765" w:type="dxa"/>
          </w:tcPr>
          <w:p>
            <w:pPr>
              <w:jc w:val="center"/>
              <w:rPr>
                <w:rFonts w:ascii="宋体" w:hAnsi="宋体"/>
                <w:sz w:val="18"/>
                <w:szCs w:val="18"/>
              </w:rPr>
            </w:pPr>
            <w:r>
              <w:rPr>
                <w:rFonts w:ascii="宋体" w:hAnsi="宋体"/>
                <w:spacing w:val="-1"/>
                <w:sz w:val="18"/>
                <w:szCs w:val="18"/>
              </w:rPr>
              <w:t>CH</w:t>
            </w:r>
            <w:r>
              <w:rPr>
                <w:rFonts w:ascii="宋体" w:hAnsi="宋体"/>
                <w:spacing w:val="-1"/>
                <w:position w:val="-2"/>
                <w:sz w:val="18"/>
                <w:szCs w:val="18"/>
                <w:vertAlign w:val="subscript"/>
              </w:rPr>
              <w:t>4</w:t>
            </w:r>
          </w:p>
        </w:tc>
        <w:tc>
          <w:tcPr>
            <w:tcW w:w="2766" w:type="dxa"/>
          </w:tcPr>
          <w:p>
            <w:pPr>
              <w:jc w:val="center"/>
              <w:rPr>
                <w:rFonts w:ascii="宋体" w:hAnsi="宋体"/>
                <w:sz w:val="18"/>
                <w:szCs w:val="18"/>
              </w:rPr>
            </w:pPr>
            <w:r>
              <w:rPr>
                <w:rFonts w:hint="eastAsia" w:ascii="宋体" w:hAnsi="宋体"/>
                <w:sz w:val="18"/>
                <w:szCs w:val="18"/>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65" w:type="dxa"/>
          </w:tcPr>
          <w:p>
            <w:pPr>
              <w:jc w:val="center"/>
              <w:rPr>
                <w:rFonts w:ascii="宋体" w:hAnsi="宋体"/>
                <w:sz w:val="18"/>
                <w:szCs w:val="18"/>
              </w:rPr>
            </w:pPr>
            <w:r>
              <w:rPr>
                <w:rFonts w:ascii="宋体" w:hAnsi="宋体"/>
                <w:spacing w:val="-1"/>
                <w:sz w:val="18"/>
                <w:szCs w:val="18"/>
              </w:rPr>
              <w:t>氧化亚氮</w:t>
            </w:r>
          </w:p>
        </w:tc>
        <w:tc>
          <w:tcPr>
            <w:tcW w:w="2765" w:type="dxa"/>
          </w:tcPr>
          <w:p>
            <w:pPr>
              <w:jc w:val="center"/>
              <w:rPr>
                <w:rFonts w:ascii="宋体" w:hAnsi="宋体"/>
                <w:sz w:val="18"/>
                <w:szCs w:val="18"/>
              </w:rPr>
            </w:pPr>
            <w:r>
              <w:rPr>
                <w:rFonts w:ascii="宋体" w:hAnsi="宋体"/>
                <w:spacing w:val="1"/>
                <w:sz w:val="18"/>
                <w:szCs w:val="18"/>
              </w:rPr>
              <w:t>N</w:t>
            </w:r>
            <w:r>
              <w:rPr>
                <w:rFonts w:ascii="宋体" w:hAnsi="宋体"/>
                <w:spacing w:val="1"/>
                <w:position w:val="-2"/>
                <w:sz w:val="18"/>
                <w:szCs w:val="18"/>
                <w:vertAlign w:val="subscript"/>
              </w:rPr>
              <w:t>2</w:t>
            </w:r>
            <w:r>
              <w:rPr>
                <w:rFonts w:ascii="宋体" w:hAnsi="宋体"/>
                <w:spacing w:val="1"/>
                <w:sz w:val="18"/>
                <w:szCs w:val="18"/>
              </w:rPr>
              <w:t>O</w:t>
            </w:r>
          </w:p>
        </w:tc>
        <w:tc>
          <w:tcPr>
            <w:tcW w:w="2766" w:type="dxa"/>
          </w:tcPr>
          <w:p>
            <w:pPr>
              <w:jc w:val="center"/>
              <w:rPr>
                <w:rFonts w:ascii="宋体" w:hAnsi="宋体"/>
                <w:sz w:val="18"/>
                <w:szCs w:val="18"/>
              </w:rPr>
            </w:pPr>
            <w:r>
              <w:rPr>
                <w:rFonts w:hint="eastAsia" w:ascii="宋体" w:hAnsi="宋体"/>
                <w:sz w:val="18"/>
                <w:szCs w:val="18"/>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ascii="宋体" w:hAnsi="宋体"/>
                <w:sz w:val="18"/>
                <w:szCs w:val="18"/>
              </w:rPr>
              <w:t>三氟化氮</w:t>
            </w:r>
          </w:p>
        </w:tc>
        <w:tc>
          <w:tcPr>
            <w:tcW w:w="2765" w:type="dxa"/>
          </w:tcPr>
          <w:p>
            <w:pPr>
              <w:jc w:val="center"/>
              <w:rPr>
                <w:rFonts w:ascii="宋体" w:hAnsi="宋体"/>
                <w:sz w:val="18"/>
                <w:szCs w:val="18"/>
              </w:rPr>
            </w:pPr>
            <w:r>
              <w:rPr>
                <w:rFonts w:ascii="宋体" w:hAnsi="宋体"/>
                <w:sz w:val="18"/>
                <w:szCs w:val="18"/>
              </w:rPr>
              <w:t>NF</w:t>
            </w:r>
            <w:r>
              <w:rPr>
                <w:rFonts w:ascii="宋体" w:hAnsi="宋体"/>
                <w:spacing w:val="3"/>
                <w:position w:val="-2"/>
                <w:sz w:val="18"/>
                <w:szCs w:val="18"/>
                <w:vertAlign w:val="subscript"/>
              </w:rPr>
              <w:t>3</w:t>
            </w:r>
          </w:p>
        </w:tc>
        <w:tc>
          <w:tcPr>
            <w:tcW w:w="2766" w:type="dxa"/>
          </w:tcPr>
          <w:p>
            <w:pPr>
              <w:jc w:val="center"/>
              <w:rPr>
                <w:rFonts w:ascii="宋体" w:hAnsi="宋体"/>
                <w:sz w:val="18"/>
                <w:szCs w:val="18"/>
              </w:rPr>
            </w:pPr>
            <w:r>
              <w:rPr>
                <w:rFonts w:hint="eastAsia" w:ascii="宋体" w:hAnsi="宋体"/>
                <w:sz w:val="18"/>
                <w:szCs w:val="18"/>
              </w:rPr>
              <w:t>17400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hint="eastAsia" w:ascii="宋体" w:hAnsi="宋体"/>
                <w:sz w:val="18"/>
                <w:szCs w:val="18"/>
              </w:rPr>
              <w:t>六氟化硫</w:t>
            </w:r>
          </w:p>
        </w:tc>
        <w:tc>
          <w:tcPr>
            <w:tcW w:w="2765" w:type="dxa"/>
          </w:tcPr>
          <w:p>
            <w:pPr>
              <w:jc w:val="center"/>
              <w:rPr>
                <w:rFonts w:ascii="宋体" w:hAnsi="宋体"/>
                <w:sz w:val="18"/>
                <w:szCs w:val="18"/>
              </w:rPr>
            </w:pPr>
            <w:r>
              <w:rPr>
                <w:rFonts w:hint="eastAsia" w:ascii="宋体" w:hAnsi="宋体"/>
                <w:sz w:val="18"/>
                <w:szCs w:val="18"/>
              </w:rPr>
              <w:t>SF</w:t>
            </w:r>
            <w:r>
              <w:rPr>
                <w:rFonts w:hint="eastAsia" w:ascii="宋体" w:hAnsi="宋体"/>
                <w:sz w:val="18"/>
                <w:szCs w:val="18"/>
                <w:vertAlign w:val="subscript"/>
              </w:rPr>
              <w:t>6</w:t>
            </w:r>
          </w:p>
        </w:tc>
        <w:tc>
          <w:tcPr>
            <w:tcW w:w="2766" w:type="dxa"/>
          </w:tcPr>
          <w:p>
            <w:pPr>
              <w:jc w:val="center"/>
              <w:rPr>
                <w:rFonts w:ascii="宋体" w:hAnsi="宋体"/>
                <w:sz w:val="18"/>
                <w:szCs w:val="18"/>
              </w:rPr>
            </w:pPr>
            <w:r>
              <w:rPr>
                <w:rFonts w:hint="eastAsia" w:ascii="宋体" w:hAnsi="宋体"/>
                <w:sz w:val="18"/>
                <w:szCs w:val="18"/>
              </w:rPr>
              <w:t>25200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3"/>
          </w:tcPr>
          <w:p>
            <w:pPr>
              <w:jc w:val="center"/>
              <w:rPr>
                <w:rFonts w:ascii="宋体" w:hAnsi="宋体"/>
                <w:sz w:val="18"/>
                <w:szCs w:val="18"/>
              </w:rPr>
            </w:pPr>
            <w:r>
              <w:rPr>
                <w:rFonts w:hint="eastAsia" w:ascii="宋体" w:hAnsi="宋体"/>
                <w:sz w:val="18"/>
                <w:szCs w:val="18"/>
              </w:rPr>
              <w:t>氢氟</w:t>
            </w:r>
            <w:r>
              <w:rPr>
                <w:rFonts w:ascii="宋体" w:hAnsi="宋体"/>
                <w:sz w:val="18"/>
                <w:szCs w:val="18"/>
              </w:rPr>
              <w:t>碳化物</w:t>
            </w:r>
            <w:r>
              <w:rPr>
                <w:rFonts w:hint="eastAsia" w:ascii="宋体" w:hAnsi="宋体"/>
                <w:sz w:val="18"/>
                <w:szCs w:val="18"/>
              </w:rPr>
              <w:t>（HFC</w:t>
            </w:r>
            <w:r>
              <w:rPr>
                <w:rFonts w:ascii="宋体" w:hAnsi="宋体"/>
                <w:sz w:val="18"/>
                <w:szCs w:val="18"/>
              </w:rPr>
              <w:t>s</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65" w:type="dxa"/>
          </w:tcPr>
          <w:p>
            <w:pPr>
              <w:jc w:val="center"/>
              <w:rPr>
                <w:rFonts w:ascii="宋体" w:hAnsi="宋体"/>
                <w:sz w:val="18"/>
                <w:szCs w:val="18"/>
              </w:rPr>
            </w:pPr>
            <w:r>
              <w:rPr>
                <w:rFonts w:ascii="宋体" w:hAnsi="宋体"/>
                <w:spacing w:val="-1"/>
                <w:sz w:val="18"/>
                <w:szCs w:val="18"/>
              </w:rPr>
              <w:t>HFC-23</w:t>
            </w:r>
          </w:p>
        </w:tc>
        <w:tc>
          <w:tcPr>
            <w:tcW w:w="2765" w:type="dxa"/>
          </w:tcPr>
          <w:p>
            <w:pPr>
              <w:jc w:val="center"/>
              <w:rPr>
                <w:rFonts w:ascii="宋体" w:hAnsi="宋体"/>
                <w:sz w:val="18"/>
                <w:szCs w:val="18"/>
              </w:rPr>
            </w:pPr>
            <w:r>
              <w:rPr>
                <w:rFonts w:hint="eastAsia" w:ascii="宋体" w:hAnsi="宋体"/>
                <w:sz w:val="18"/>
                <w:szCs w:val="18"/>
              </w:rPr>
              <w:t>CHF</w:t>
            </w:r>
            <w:r>
              <w:rPr>
                <w:rFonts w:hint="eastAsia" w:ascii="宋体" w:hAnsi="宋体"/>
                <w:sz w:val="18"/>
                <w:szCs w:val="18"/>
                <w:vertAlign w:val="subscript"/>
              </w:rPr>
              <w:t>3</w:t>
            </w:r>
          </w:p>
        </w:tc>
        <w:tc>
          <w:tcPr>
            <w:tcW w:w="2766" w:type="dxa"/>
          </w:tcPr>
          <w:p>
            <w:pPr>
              <w:jc w:val="center"/>
              <w:rPr>
                <w:rFonts w:ascii="宋体" w:hAnsi="宋体"/>
                <w:sz w:val="18"/>
                <w:szCs w:val="18"/>
              </w:rPr>
            </w:pPr>
            <w:r>
              <w:rPr>
                <w:rFonts w:hint="eastAsia" w:ascii="宋体" w:hAnsi="宋体"/>
                <w:sz w:val="18"/>
                <w:szCs w:val="18"/>
              </w:rPr>
              <w:t>14600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ascii="宋体" w:hAnsi="宋体"/>
                <w:spacing w:val="-1"/>
                <w:position w:val="1"/>
                <w:sz w:val="18"/>
                <w:szCs w:val="18"/>
              </w:rPr>
              <w:t>HFC-32</w:t>
            </w:r>
          </w:p>
        </w:tc>
        <w:tc>
          <w:tcPr>
            <w:tcW w:w="2765" w:type="dxa"/>
          </w:tcPr>
          <w:p>
            <w:pPr>
              <w:jc w:val="center"/>
              <w:rPr>
                <w:rFonts w:ascii="宋体" w:hAnsi="宋体"/>
                <w:sz w:val="18"/>
                <w:szCs w:val="18"/>
              </w:rPr>
            </w:pPr>
            <w:r>
              <w:rPr>
                <w:rFonts w:hint="eastAsia" w:ascii="宋体" w:hAnsi="宋体"/>
                <w:sz w:val="18"/>
                <w:szCs w:val="18"/>
              </w:rPr>
              <w:t>CH</w:t>
            </w:r>
            <w:r>
              <w:rPr>
                <w:rFonts w:hint="eastAsia" w:ascii="宋体" w:hAnsi="宋体"/>
                <w:sz w:val="18"/>
                <w:szCs w:val="18"/>
                <w:vertAlign w:val="subscript"/>
              </w:rPr>
              <w:t>2</w:t>
            </w:r>
            <w:r>
              <w:rPr>
                <w:rFonts w:hint="eastAsia" w:ascii="宋体" w:hAnsi="宋体"/>
                <w:sz w:val="18"/>
                <w:szCs w:val="18"/>
              </w:rPr>
              <w:t>F</w:t>
            </w:r>
            <w:r>
              <w:rPr>
                <w:rFonts w:hint="eastAsia" w:ascii="宋体" w:hAnsi="宋体"/>
                <w:sz w:val="18"/>
                <w:szCs w:val="18"/>
                <w:vertAlign w:val="subscript"/>
              </w:rPr>
              <w:t>2</w:t>
            </w:r>
          </w:p>
        </w:tc>
        <w:tc>
          <w:tcPr>
            <w:tcW w:w="2766" w:type="dxa"/>
          </w:tcPr>
          <w:p>
            <w:pPr>
              <w:jc w:val="center"/>
              <w:rPr>
                <w:rFonts w:ascii="宋体" w:hAnsi="宋体"/>
                <w:sz w:val="18"/>
                <w:szCs w:val="18"/>
              </w:rPr>
            </w:pPr>
            <w:r>
              <w:rPr>
                <w:rFonts w:hint="eastAsia" w:ascii="宋体" w:hAnsi="宋体"/>
                <w:sz w:val="18"/>
                <w:szCs w:val="18"/>
              </w:rPr>
              <w:t>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ascii="宋体" w:hAnsi="宋体"/>
                <w:spacing w:val="-1"/>
                <w:position w:val="1"/>
                <w:sz w:val="18"/>
                <w:szCs w:val="18"/>
              </w:rPr>
              <w:t>HFC-41</w:t>
            </w:r>
          </w:p>
        </w:tc>
        <w:tc>
          <w:tcPr>
            <w:tcW w:w="2765" w:type="dxa"/>
          </w:tcPr>
          <w:p>
            <w:pPr>
              <w:jc w:val="center"/>
              <w:rPr>
                <w:rFonts w:ascii="宋体" w:hAnsi="宋体"/>
                <w:sz w:val="18"/>
                <w:szCs w:val="18"/>
              </w:rPr>
            </w:pPr>
            <w:r>
              <w:rPr>
                <w:rFonts w:hint="eastAsia" w:ascii="宋体" w:hAnsi="宋体"/>
                <w:sz w:val="18"/>
                <w:szCs w:val="18"/>
              </w:rPr>
              <w:t>CH</w:t>
            </w:r>
            <w:r>
              <w:rPr>
                <w:rFonts w:hint="eastAsia" w:ascii="宋体" w:hAnsi="宋体"/>
                <w:sz w:val="18"/>
                <w:szCs w:val="18"/>
                <w:vertAlign w:val="subscript"/>
              </w:rPr>
              <w:t>3</w:t>
            </w:r>
            <w:r>
              <w:rPr>
                <w:rFonts w:hint="eastAsia" w:ascii="宋体" w:hAnsi="宋体"/>
                <w:sz w:val="18"/>
                <w:szCs w:val="18"/>
              </w:rPr>
              <w:t>F</w:t>
            </w:r>
          </w:p>
        </w:tc>
        <w:tc>
          <w:tcPr>
            <w:tcW w:w="2766" w:type="dxa"/>
          </w:tcPr>
          <w:p>
            <w:pPr>
              <w:jc w:val="center"/>
              <w:rPr>
                <w:rFonts w:ascii="宋体" w:hAnsi="宋体"/>
                <w:sz w:val="18"/>
                <w:szCs w:val="18"/>
              </w:rPr>
            </w:pPr>
            <w:r>
              <w:rPr>
                <w:rFonts w:hint="eastAsia" w:ascii="宋体" w:hAnsi="宋体"/>
                <w:sz w:val="18"/>
                <w:szCs w:val="18"/>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ascii="宋体" w:hAnsi="宋体"/>
                <w:spacing w:val="-1"/>
                <w:position w:val="1"/>
                <w:sz w:val="18"/>
                <w:szCs w:val="18"/>
              </w:rPr>
              <w:t>HFC-125</w:t>
            </w:r>
          </w:p>
        </w:tc>
        <w:tc>
          <w:tcPr>
            <w:tcW w:w="2765" w:type="dxa"/>
          </w:tcPr>
          <w:p>
            <w:pPr>
              <w:jc w:val="center"/>
              <w:rPr>
                <w:rFonts w:ascii="宋体" w:hAnsi="宋体"/>
                <w:sz w:val="18"/>
                <w:szCs w:val="18"/>
              </w:rPr>
            </w:pPr>
            <w:r>
              <w:rPr>
                <w:rFonts w:hint="eastAsia" w:ascii="宋体" w:hAnsi="宋体"/>
                <w:sz w:val="18"/>
                <w:szCs w:val="18"/>
              </w:rPr>
              <w:t>C</w:t>
            </w:r>
            <w:r>
              <w:rPr>
                <w:rFonts w:hint="eastAsia" w:ascii="宋体" w:hAnsi="宋体"/>
                <w:sz w:val="18"/>
                <w:szCs w:val="18"/>
                <w:vertAlign w:val="subscript"/>
              </w:rPr>
              <w:t>2</w:t>
            </w:r>
            <w:r>
              <w:rPr>
                <w:rFonts w:hint="eastAsia" w:ascii="宋体" w:hAnsi="宋体"/>
                <w:sz w:val="18"/>
                <w:szCs w:val="18"/>
              </w:rPr>
              <w:t>HF</w:t>
            </w:r>
            <w:r>
              <w:rPr>
                <w:rFonts w:hint="eastAsia" w:ascii="宋体" w:hAnsi="宋体"/>
                <w:sz w:val="18"/>
                <w:szCs w:val="18"/>
                <w:vertAlign w:val="subscript"/>
              </w:rPr>
              <w:t>5</w:t>
            </w:r>
          </w:p>
        </w:tc>
        <w:tc>
          <w:tcPr>
            <w:tcW w:w="2766" w:type="dxa"/>
          </w:tcPr>
          <w:p>
            <w:pPr>
              <w:jc w:val="center"/>
              <w:rPr>
                <w:rFonts w:ascii="宋体" w:hAnsi="宋体"/>
                <w:sz w:val="18"/>
                <w:szCs w:val="18"/>
              </w:rPr>
            </w:pPr>
            <w:r>
              <w:rPr>
                <w:rFonts w:hint="eastAsia" w:ascii="宋体" w:hAnsi="宋体"/>
                <w:sz w:val="18"/>
                <w:szCs w:val="18"/>
              </w:rPr>
              <w:t>3740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65" w:type="dxa"/>
          </w:tcPr>
          <w:p>
            <w:pPr>
              <w:jc w:val="center"/>
              <w:rPr>
                <w:rFonts w:ascii="宋体" w:hAnsi="宋体"/>
                <w:sz w:val="18"/>
                <w:szCs w:val="18"/>
              </w:rPr>
            </w:pPr>
            <w:r>
              <w:rPr>
                <w:rFonts w:ascii="宋体" w:hAnsi="宋体"/>
                <w:spacing w:val="-1"/>
                <w:position w:val="1"/>
                <w:sz w:val="18"/>
                <w:szCs w:val="18"/>
              </w:rPr>
              <w:t>HFC-134</w:t>
            </w:r>
          </w:p>
        </w:tc>
        <w:tc>
          <w:tcPr>
            <w:tcW w:w="2765" w:type="dxa"/>
          </w:tcPr>
          <w:p>
            <w:pPr>
              <w:jc w:val="center"/>
              <w:rPr>
                <w:rFonts w:ascii="宋体" w:hAnsi="宋体"/>
                <w:sz w:val="18"/>
                <w:szCs w:val="18"/>
              </w:rPr>
            </w:pPr>
            <w:r>
              <w:rPr>
                <w:rFonts w:hint="eastAsia" w:ascii="宋体" w:hAnsi="宋体"/>
                <w:sz w:val="18"/>
                <w:szCs w:val="18"/>
              </w:rPr>
              <w:t>CHF</w:t>
            </w:r>
            <w:r>
              <w:rPr>
                <w:rFonts w:hint="eastAsia" w:ascii="宋体" w:hAnsi="宋体"/>
                <w:sz w:val="18"/>
                <w:szCs w:val="18"/>
                <w:vertAlign w:val="subscript"/>
              </w:rPr>
              <w:t>2</w:t>
            </w:r>
            <w:r>
              <w:rPr>
                <w:rFonts w:hint="eastAsia" w:ascii="宋体" w:hAnsi="宋体"/>
                <w:sz w:val="18"/>
                <w:szCs w:val="18"/>
              </w:rPr>
              <w:t>CHF</w:t>
            </w:r>
            <w:r>
              <w:rPr>
                <w:rFonts w:hint="eastAsia" w:ascii="宋体" w:hAnsi="宋体"/>
                <w:sz w:val="18"/>
                <w:szCs w:val="18"/>
                <w:vertAlign w:val="subscript"/>
              </w:rPr>
              <w:t>2</w:t>
            </w:r>
          </w:p>
        </w:tc>
        <w:tc>
          <w:tcPr>
            <w:tcW w:w="2766" w:type="dxa"/>
          </w:tcPr>
          <w:p>
            <w:pPr>
              <w:jc w:val="center"/>
              <w:rPr>
                <w:rFonts w:ascii="宋体" w:hAnsi="宋体"/>
                <w:sz w:val="18"/>
                <w:szCs w:val="18"/>
              </w:rPr>
            </w:pPr>
            <w:r>
              <w:rPr>
                <w:rFonts w:hint="eastAsia" w:ascii="宋体" w:hAnsi="宋体"/>
                <w:sz w:val="18"/>
                <w:szCs w:val="18"/>
              </w:rPr>
              <w:t>1260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ascii="宋体" w:hAnsi="宋体"/>
                <w:spacing w:val="-1"/>
                <w:position w:val="1"/>
                <w:sz w:val="18"/>
                <w:szCs w:val="18"/>
              </w:rPr>
              <w:t>HFC-134a</w:t>
            </w:r>
          </w:p>
        </w:tc>
        <w:tc>
          <w:tcPr>
            <w:tcW w:w="2765" w:type="dxa"/>
          </w:tcPr>
          <w:p>
            <w:pPr>
              <w:jc w:val="center"/>
              <w:rPr>
                <w:rFonts w:ascii="宋体" w:hAnsi="宋体"/>
                <w:sz w:val="18"/>
                <w:szCs w:val="18"/>
              </w:rPr>
            </w:pPr>
            <w:r>
              <w:rPr>
                <w:rFonts w:hint="eastAsia" w:ascii="宋体" w:hAnsi="宋体"/>
                <w:sz w:val="18"/>
                <w:szCs w:val="18"/>
              </w:rPr>
              <w:t>C</w:t>
            </w:r>
            <w:r>
              <w:rPr>
                <w:rFonts w:hint="eastAsia" w:ascii="宋体" w:hAnsi="宋体"/>
                <w:sz w:val="18"/>
                <w:szCs w:val="18"/>
                <w:vertAlign w:val="subscript"/>
              </w:rPr>
              <w:t>2</w:t>
            </w:r>
            <w:r>
              <w:rPr>
                <w:rFonts w:hint="eastAsia" w:ascii="宋体" w:hAnsi="宋体"/>
                <w:sz w:val="18"/>
                <w:szCs w:val="18"/>
              </w:rPr>
              <w:t>H</w:t>
            </w:r>
            <w:r>
              <w:rPr>
                <w:rFonts w:hint="eastAsia" w:ascii="宋体" w:hAnsi="宋体"/>
                <w:sz w:val="18"/>
                <w:szCs w:val="18"/>
                <w:vertAlign w:val="subscript"/>
              </w:rPr>
              <w:t>2</w:t>
            </w:r>
            <w:r>
              <w:rPr>
                <w:rFonts w:hint="eastAsia" w:ascii="宋体" w:hAnsi="宋体"/>
                <w:sz w:val="18"/>
                <w:szCs w:val="18"/>
              </w:rPr>
              <w:t>F</w:t>
            </w:r>
            <w:r>
              <w:rPr>
                <w:rFonts w:hint="eastAsia" w:ascii="宋体" w:hAnsi="宋体"/>
                <w:sz w:val="18"/>
                <w:szCs w:val="18"/>
                <w:vertAlign w:val="subscript"/>
              </w:rPr>
              <w:t>4</w:t>
            </w:r>
          </w:p>
        </w:tc>
        <w:tc>
          <w:tcPr>
            <w:tcW w:w="2766" w:type="dxa"/>
          </w:tcPr>
          <w:p>
            <w:pPr>
              <w:jc w:val="center"/>
              <w:rPr>
                <w:rFonts w:ascii="宋体" w:hAnsi="宋体"/>
                <w:sz w:val="18"/>
                <w:szCs w:val="18"/>
              </w:rPr>
            </w:pPr>
            <w:r>
              <w:rPr>
                <w:rFonts w:hint="eastAsia" w:ascii="宋体" w:hAnsi="宋体"/>
                <w:sz w:val="18"/>
                <w:szCs w:val="18"/>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ascii="宋体" w:hAnsi="宋体"/>
                <w:spacing w:val="-1"/>
                <w:position w:val="1"/>
                <w:sz w:val="18"/>
                <w:szCs w:val="18"/>
              </w:rPr>
              <w:t>HFC-143</w:t>
            </w:r>
          </w:p>
        </w:tc>
        <w:tc>
          <w:tcPr>
            <w:tcW w:w="2765" w:type="dxa"/>
          </w:tcPr>
          <w:p>
            <w:pPr>
              <w:jc w:val="center"/>
              <w:rPr>
                <w:rFonts w:ascii="宋体" w:hAnsi="宋体"/>
                <w:sz w:val="18"/>
                <w:szCs w:val="18"/>
              </w:rPr>
            </w:pPr>
            <w:r>
              <w:rPr>
                <w:rFonts w:hint="eastAsia" w:ascii="宋体" w:hAnsi="宋体"/>
                <w:sz w:val="18"/>
                <w:szCs w:val="18"/>
              </w:rPr>
              <w:t>CH</w:t>
            </w:r>
            <w:r>
              <w:rPr>
                <w:rFonts w:hint="eastAsia" w:ascii="宋体" w:hAnsi="宋体"/>
                <w:sz w:val="18"/>
                <w:szCs w:val="18"/>
                <w:vertAlign w:val="subscript"/>
              </w:rPr>
              <w:t>2</w:t>
            </w:r>
            <w:r>
              <w:rPr>
                <w:rFonts w:hint="eastAsia" w:ascii="宋体" w:hAnsi="宋体"/>
                <w:sz w:val="18"/>
                <w:szCs w:val="18"/>
              </w:rPr>
              <w:t>FC</w:t>
            </w:r>
            <w:r>
              <w:rPr>
                <w:rFonts w:ascii="宋体" w:hAnsi="宋体"/>
                <w:sz w:val="18"/>
                <w:szCs w:val="18"/>
              </w:rPr>
              <w:t>HF</w:t>
            </w:r>
            <w:r>
              <w:rPr>
                <w:rFonts w:ascii="宋体" w:hAnsi="宋体"/>
                <w:sz w:val="18"/>
                <w:szCs w:val="18"/>
                <w:vertAlign w:val="subscript"/>
              </w:rPr>
              <w:t>2</w:t>
            </w:r>
          </w:p>
        </w:tc>
        <w:tc>
          <w:tcPr>
            <w:tcW w:w="2766" w:type="dxa"/>
          </w:tcPr>
          <w:p>
            <w:pPr>
              <w:jc w:val="center"/>
              <w:rPr>
                <w:rFonts w:ascii="宋体" w:hAnsi="宋体"/>
                <w:sz w:val="18"/>
                <w:szCs w:val="18"/>
              </w:rPr>
            </w:pPr>
            <w:r>
              <w:rPr>
                <w:rFonts w:hint="eastAsia" w:ascii="宋体" w:hAnsi="宋体"/>
                <w:sz w:val="18"/>
                <w:szCs w:val="18"/>
              </w:rPr>
              <w:t>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ascii="宋体" w:hAnsi="宋体"/>
                <w:spacing w:val="-1"/>
                <w:position w:val="1"/>
                <w:sz w:val="18"/>
                <w:szCs w:val="18"/>
              </w:rPr>
              <w:t>HFC-143a</w:t>
            </w:r>
          </w:p>
        </w:tc>
        <w:tc>
          <w:tcPr>
            <w:tcW w:w="2765" w:type="dxa"/>
          </w:tcPr>
          <w:p>
            <w:pPr>
              <w:jc w:val="center"/>
              <w:rPr>
                <w:rFonts w:ascii="宋体" w:hAnsi="宋体"/>
                <w:sz w:val="18"/>
                <w:szCs w:val="18"/>
              </w:rPr>
            </w:pPr>
            <w:r>
              <w:rPr>
                <w:rFonts w:hint="eastAsia" w:ascii="宋体" w:hAnsi="宋体"/>
                <w:sz w:val="18"/>
                <w:szCs w:val="18"/>
              </w:rPr>
              <w:t>CH</w:t>
            </w:r>
            <w:r>
              <w:rPr>
                <w:rFonts w:hint="eastAsia" w:ascii="宋体" w:hAnsi="宋体"/>
                <w:sz w:val="18"/>
                <w:szCs w:val="18"/>
                <w:vertAlign w:val="subscript"/>
              </w:rPr>
              <w:t>3</w:t>
            </w:r>
            <w:r>
              <w:rPr>
                <w:rFonts w:hint="eastAsia" w:ascii="宋体" w:hAnsi="宋体"/>
                <w:sz w:val="18"/>
                <w:szCs w:val="18"/>
              </w:rPr>
              <w:t>CF</w:t>
            </w:r>
            <w:r>
              <w:rPr>
                <w:rFonts w:hint="eastAsia" w:ascii="宋体" w:hAnsi="宋体"/>
                <w:sz w:val="18"/>
                <w:szCs w:val="18"/>
                <w:vertAlign w:val="subscript"/>
              </w:rPr>
              <w:t>3</w:t>
            </w:r>
          </w:p>
        </w:tc>
        <w:tc>
          <w:tcPr>
            <w:tcW w:w="2766" w:type="dxa"/>
          </w:tcPr>
          <w:p>
            <w:pPr>
              <w:jc w:val="center"/>
              <w:rPr>
                <w:rFonts w:ascii="宋体" w:hAnsi="宋体"/>
                <w:sz w:val="18"/>
                <w:szCs w:val="18"/>
              </w:rPr>
            </w:pPr>
            <w:r>
              <w:rPr>
                <w:rFonts w:hint="eastAsia" w:ascii="宋体" w:hAnsi="宋体"/>
                <w:sz w:val="18"/>
                <w:szCs w:val="18"/>
              </w:rPr>
              <w:t>5810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65" w:type="dxa"/>
          </w:tcPr>
          <w:p>
            <w:pPr>
              <w:jc w:val="center"/>
              <w:rPr>
                <w:rFonts w:ascii="宋体" w:hAnsi="宋体"/>
                <w:sz w:val="18"/>
                <w:szCs w:val="18"/>
              </w:rPr>
            </w:pPr>
            <w:r>
              <w:rPr>
                <w:rFonts w:ascii="宋体" w:hAnsi="宋体"/>
                <w:spacing w:val="-1"/>
                <w:position w:val="1"/>
                <w:sz w:val="18"/>
                <w:szCs w:val="18"/>
              </w:rPr>
              <w:t>HFC-152a</w:t>
            </w:r>
          </w:p>
        </w:tc>
        <w:tc>
          <w:tcPr>
            <w:tcW w:w="2765" w:type="dxa"/>
          </w:tcPr>
          <w:p>
            <w:pPr>
              <w:jc w:val="center"/>
              <w:rPr>
                <w:rFonts w:ascii="宋体" w:hAnsi="宋体"/>
                <w:sz w:val="18"/>
                <w:szCs w:val="18"/>
              </w:rPr>
            </w:pPr>
            <w:r>
              <w:rPr>
                <w:rFonts w:hint="eastAsia" w:ascii="宋体" w:hAnsi="宋体"/>
                <w:sz w:val="18"/>
                <w:szCs w:val="18"/>
              </w:rPr>
              <w:t>C</w:t>
            </w:r>
            <w:r>
              <w:rPr>
                <w:rFonts w:hint="eastAsia" w:ascii="宋体" w:hAnsi="宋体"/>
                <w:sz w:val="18"/>
                <w:szCs w:val="18"/>
                <w:vertAlign w:val="subscript"/>
              </w:rPr>
              <w:t>2</w:t>
            </w:r>
            <w:r>
              <w:rPr>
                <w:rFonts w:hint="eastAsia" w:ascii="宋体" w:hAnsi="宋体"/>
                <w:sz w:val="18"/>
                <w:szCs w:val="18"/>
              </w:rPr>
              <w:t>H</w:t>
            </w:r>
            <w:r>
              <w:rPr>
                <w:rFonts w:hint="eastAsia" w:ascii="宋体" w:hAnsi="宋体"/>
                <w:sz w:val="18"/>
                <w:szCs w:val="18"/>
                <w:vertAlign w:val="subscript"/>
              </w:rPr>
              <w:t>4</w:t>
            </w:r>
            <w:r>
              <w:rPr>
                <w:rFonts w:hint="eastAsia" w:ascii="宋体" w:hAnsi="宋体"/>
                <w:sz w:val="18"/>
                <w:szCs w:val="18"/>
              </w:rPr>
              <w:t>F</w:t>
            </w:r>
            <w:r>
              <w:rPr>
                <w:rFonts w:hint="eastAsia" w:ascii="宋体" w:hAnsi="宋体"/>
                <w:sz w:val="18"/>
                <w:szCs w:val="18"/>
                <w:vertAlign w:val="subscript"/>
              </w:rPr>
              <w:t>2</w:t>
            </w:r>
          </w:p>
        </w:tc>
        <w:tc>
          <w:tcPr>
            <w:tcW w:w="2766" w:type="dxa"/>
          </w:tcPr>
          <w:p>
            <w:pPr>
              <w:jc w:val="center"/>
              <w:rPr>
                <w:rFonts w:ascii="宋体" w:hAnsi="宋体"/>
                <w:sz w:val="18"/>
                <w:szCs w:val="18"/>
              </w:rPr>
            </w:pPr>
            <w:r>
              <w:rPr>
                <w:rFonts w:hint="eastAsia" w:ascii="宋体" w:hAnsi="宋体"/>
                <w:sz w:val="18"/>
                <w:szCs w:val="18"/>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ascii="宋体" w:hAnsi="宋体"/>
                <w:spacing w:val="-1"/>
                <w:position w:val="1"/>
                <w:sz w:val="18"/>
                <w:szCs w:val="18"/>
              </w:rPr>
              <w:t>HFC-227ea</w:t>
            </w:r>
          </w:p>
        </w:tc>
        <w:tc>
          <w:tcPr>
            <w:tcW w:w="2765" w:type="dxa"/>
          </w:tcPr>
          <w:p>
            <w:pPr>
              <w:jc w:val="center"/>
              <w:rPr>
                <w:rFonts w:ascii="宋体" w:hAnsi="宋体"/>
                <w:sz w:val="18"/>
                <w:szCs w:val="18"/>
              </w:rPr>
            </w:pPr>
            <w:r>
              <w:rPr>
                <w:rFonts w:hint="eastAsia" w:ascii="宋体" w:hAnsi="宋体"/>
                <w:sz w:val="18"/>
                <w:szCs w:val="18"/>
              </w:rPr>
              <w:t>C</w:t>
            </w:r>
            <w:r>
              <w:rPr>
                <w:rFonts w:hint="eastAsia" w:ascii="宋体" w:hAnsi="宋体"/>
                <w:sz w:val="18"/>
                <w:szCs w:val="18"/>
                <w:vertAlign w:val="subscript"/>
              </w:rPr>
              <w:t>3</w:t>
            </w:r>
            <w:r>
              <w:rPr>
                <w:rFonts w:hint="eastAsia" w:ascii="宋体" w:hAnsi="宋体"/>
                <w:sz w:val="18"/>
                <w:szCs w:val="18"/>
              </w:rPr>
              <w:t>HF</w:t>
            </w:r>
            <w:r>
              <w:rPr>
                <w:rFonts w:hint="eastAsia" w:ascii="宋体" w:hAnsi="宋体"/>
                <w:sz w:val="18"/>
                <w:szCs w:val="18"/>
                <w:vertAlign w:val="subscript"/>
              </w:rPr>
              <w:t>7</w:t>
            </w:r>
          </w:p>
        </w:tc>
        <w:tc>
          <w:tcPr>
            <w:tcW w:w="2766" w:type="dxa"/>
          </w:tcPr>
          <w:p>
            <w:pPr>
              <w:jc w:val="center"/>
              <w:rPr>
                <w:rFonts w:ascii="宋体" w:hAnsi="宋体"/>
                <w:sz w:val="18"/>
                <w:szCs w:val="18"/>
              </w:rPr>
            </w:pPr>
            <w:r>
              <w:rPr>
                <w:rFonts w:hint="eastAsia" w:ascii="宋体" w:hAnsi="宋体"/>
                <w:sz w:val="18"/>
                <w:szCs w:val="18"/>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ascii="宋体" w:hAnsi="宋体"/>
                <w:spacing w:val="-1"/>
                <w:position w:val="1"/>
                <w:sz w:val="18"/>
                <w:szCs w:val="18"/>
              </w:rPr>
              <w:t>HFC-236fa</w:t>
            </w:r>
          </w:p>
        </w:tc>
        <w:tc>
          <w:tcPr>
            <w:tcW w:w="2765" w:type="dxa"/>
          </w:tcPr>
          <w:p>
            <w:pPr>
              <w:jc w:val="center"/>
              <w:rPr>
                <w:rFonts w:ascii="宋体" w:hAnsi="宋体"/>
                <w:sz w:val="18"/>
                <w:szCs w:val="18"/>
              </w:rPr>
            </w:pPr>
            <w:r>
              <w:rPr>
                <w:rFonts w:hint="eastAsia" w:ascii="宋体" w:hAnsi="宋体"/>
                <w:sz w:val="18"/>
                <w:szCs w:val="18"/>
              </w:rPr>
              <w:t>C</w:t>
            </w:r>
            <w:r>
              <w:rPr>
                <w:rFonts w:hint="eastAsia" w:ascii="宋体" w:hAnsi="宋体"/>
                <w:sz w:val="18"/>
                <w:szCs w:val="18"/>
                <w:vertAlign w:val="subscript"/>
              </w:rPr>
              <w:t>3</w:t>
            </w:r>
            <w:r>
              <w:rPr>
                <w:rFonts w:hint="eastAsia" w:ascii="宋体" w:hAnsi="宋体"/>
                <w:sz w:val="18"/>
                <w:szCs w:val="18"/>
              </w:rPr>
              <w:t>H</w:t>
            </w:r>
            <w:r>
              <w:rPr>
                <w:rFonts w:hint="eastAsia" w:ascii="宋体" w:hAnsi="宋体"/>
                <w:sz w:val="18"/>
                <w:szCs w:val="18"/>
                <w:vertAlign w:val="subscript"/>
              </w:rPr>
              <w:t>2</w:t>
            </w:r>
            <w:r>
              <w:rPr>
                <w:rFonts w:hint="eastAsia" w:ascii="宋体" w:hAnsi="宋体"/>
                <w:sz w:val="18"/>
                <w:szCs w:val="18"/>
              </w:rPr>
              <w:t>F</w:t>
            </w:r>
            <w:r>
              <w:rPr>
                <w:rFonts w:hint="eastAsia" w:ascii="宋体" w:hAnsi="宋体"/>
                <w:sz w:val="18"/>
                <w:szCs w:val="18"/>
                <w:vertAlign w:val="subscript"/>
              </w:rPr>
              <w:t>6</w:t>
            </w:r>
          </w:p>
        </w:tc>
        <w:tc>
          <w:tcPr>
            <w:tcW w:w="2766" w:type="dxa"/>
          </w:tcPr>
          <w:p>
            <w:pPr>
              <w:jc w:val="center"/>
              <w:rPr>
                <w:rFonts w:ascii="宋体" w:hAnsi="宋体"/>
                <w:sz w:val="18"/>
                <w:szCs w:val="18"/>
              </w:rPr>
            </w:pPr>
            <w:r>
              <w:rPr>
                <w:rFonts w:ascii="宋体" w:hAnsi="宋体"/>
                <w:sz w:val="18"/>
                <w:szCs w:val="18"/>
              </w:rPr>
              <w:t>8690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3"/>
          </w:tcPr>
          <w:p>
            <w:pPr>
              <w:jc w:val="center"/>
              <w:rPr>
                <w:rFonts w:ascii="宋体" w:hAnsi="宋体"/>
                <w:sz w:val="18"/>
                <w:szCs w:val="18"/>
              </w:rPr>
            </w:pPr>
            <w:r>
              <w:rPr>
                <w:rFonts w:hint="eastAsia" w:ascii="宋体" w:hAnsi="宋体"/>
                <w:sz w:val="18"/>
                <w:szCs w:val="18"/>
              </w:rPr>
              <w:t>全氟碳化物(</w:t>
            </w:r>
            <w:r>
              <w:rPr>
                <w:rFonts w:ascii="宋体" w:hAnsi="宋体"/>
                <w:sz w:val="18"/>
                <w:szCs w:val="18"/>
              </w:rPr>
              <w:t>PFCs</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65" w:type="dxa"/>
          </w:tcPr>
          <w:p>
            <w:pPr>
              <w:jc w:val="center"/>
              <w:rPr>
                <w:rFonts w:ascii="宋体" w:hAnsi="宋体"/>
                <w:sz w:val="18"/>
                <w:szCs w:val="18"/>
              </w:rPr>
            </w:pPr>
            <w:r>
              <w:rPr>
                <w:rFonts w:hint="eastAsia" w:ascii="宋体" w:hAnsi="宋体"/>
                <w:sz w:val="18"/>
                <w:szCs w:val="18"/>
              </w:rPr>
              <w:t>全氟甲烷</w:t>
            </w:r>
            <w:r>
              <w:rPr>
                <w:rFonts w:ascii="宋体" w:hAnsi="宋体"/>
                <w:sz w:val="18"/>
                <w:szCs w:val="18"/>
              </w:rPr>
              <w:t>（</w:t>
            </w:r>
            <w:r>
              <w:rPr>
                <w:rFonts w:hint="eastAsia" w:ascii="宋体" w:hAnsi="宋体"/>
                <w:sz w:val="18"/>
                <w:szCs w:val="18"/>
              </w:rPr>
              <w:t>四氟</w:t>
            </w:r>
            <w:r>
              <w:rPr>
                <w:rFonts w:ascii="宋体" w:hAnsi="宋体"/>
                <w:sz w:val="18"/>
                <w:szCs w:val="18"/>
              </w:rPr>
              <w:t>甲烷）</w:t>
            </w:r>
          </w:p>
        </w:tc>
        <w:tc>
          <w:tcPr>
            <w:tcW w:w="2765" w:type="dxa"/>
          </w:tcPr>
          <w:p>
            <w:pPr>
              <w:jc w:val="center"/>
              <w:rPr>
                <w:rFonts w:ascii="宋体" w:hAnsi="宋体"/>
                <w:sz w:val="18"/>
                <w:szCs w:val="18"/>
              </w:rPr>
            </w:pPr>
            <w:r>
              <w:rPr>
                <w:rFonts w:hint="eastAsia" w:ascii="宋体" w:hAnsi="宋体"/>
                <w:sz w:val="18"/>
                <w:szCs w:val="18"/>
              </w:rPr>
              <w:t>CF</w:t>
            </w:r>
            <w:r>
              <w:rPr>
                <w:rFonts w:hint="eastAsia" w:ascii="宋体" w:hAnsi="宋体"/>
                <w:sz w:val="18"/>
                <w:szCs w:val="18"/>
                <w:vertAlign w:val="subscript"/>
              </w:rPr>
              <w:t>4</w:t>
            </w:r>
          </w:p>
        </w:tc>
        <w:tc>
          <w:tcPr>
            <w:tcW w:w="2766" w:type="dxa"/>
          </w:tcPr>
          <w:p>
            <w:pPr>
              <w:jc w:val="center"/>
              <w:rPr>
                <w:rFonts w:ascii="宋体" w:hAnsi="宋体"/>
                <w:sz w:val="18"/>
                <w:szCs w:val="18"/>
              </w:rPr>
            </w:pPr>
            <w:r>
              <w:rPr>
                <w:rFonts w:hint="eastAsia" w:ascii="宋体" w:hAnsi="宋体"/>
                <w:sz w:val="18"/>
                <w:szCs w:val="18"/>
              </w:rPr>
              <w:t>7380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hint="eastAsia" w:ascii="宋体" w:hAnsi="宋体"/>
                <w:sz w:val="18"/>
                <w:szCs w:val="18"/>
              </w:rPr>
              <w:t>全氟</w:t>
            </w:r>
            <w:r>
              <w:rPr>
                <w:rFonts w:ascii="宋体" w:hAnsi="宋体"/>
                <w:sz w:val="18"/>
                <w:szCs w:val="18"/>
              </w:rPr>
              <w:t>乙烷</w:t>
            </w:r>
            <w:r>
              <w:rPr>
                <w:rFonts w:hint="eastAsia" w:ascii="宋体" w:hAnsi="宋体"/>
                <w:sz w:val="18"/>
                <w:szCs w:val="18"/>
              </w:rPr>
              <w:t>（六氟</w:t>
            </w:r>
            <w:r>
              <w:rPr>
                <w:rFonts w:ascii="宋体" w:hAnsi="宋体"/>
                <w:sz w:val="18"/>
                <w:szCs w:val="18"/>
              </w:rPr>
              <w:t>乙烷</w:t>
            </w:r>
            <w:r>
              <w:rPr>
                <w:rFonts w:hint="eastAsia" w:ascii="宋体" w:hAnsi="宋体"/>
                <w:sz w:val="18"/>
                <w:szCs w:val="18"/>
              </w:rPr>
              <w:t>）</w:t>
            </w:r>
          </w:p>
        </w:tc>
        <w:tc>
          <w:tcPr>
            <w:tcW w:w="2765" w:type="dxa"/>
          </w:tcPr>
          <w:p>
            <w:pPr>
              <w:jc w:val="center"/>
              <w:rPr>
                <w:rFonts w:ascii="宋体" w:hAnsi="宋体"/>
                <w:sz w:val="18"/>
                <w:szCs w:val="18"/>
              </w:rPr>
            </w:pPr>
            <w:r>
              <w:rPr>
                <w:rFonts w:hint="eastAsia" w:ascii="宋体" w:hAnsi="宋体"/>
                <w:sz w:val="18"/>
                <w:szCs w:val="18"/>
              </w:rPr>
              <w:t>C</w:t>
            </w:r>
            <w:r>
              <w:rPr>
                <w:rFonts w:hint="eastAsia" w:ascii="宋体" w:hAnsi="宋体"/>
                <w:sz w:val="18"/>
                <w:szCs w:val="18"/>
                <w:vertAlign w:val="subscript"/>
              </w:rPr>
              <w:t>2</w:t>
            </w:r>
            <w:r>
              <w:rPr>
                <w:rFonts w:hint="eastAsia" w:ascii="宋体" w:hAnsi="宋体"/>
                <w:sz w:val="18"/>
                <w:szCs w:val="18"/>
              </w:rPr>
              <w:t>F</w:t>
            </w:r>
            <w:r>
              <w:rPr>
                <w:rFonts w:hint="eastAsia" w:ascii="宋体" w:hAnsi="宋体"/>
                <w:sz w:val="18"/>
                <w:szCs w:val="18"/>
                <w:vertAlign w:val="subscript"/>
              </w:rPr>
              <w:t>6</w:t>
            </w:r>
          </w:p>
        </w:tc>
        <w:tc>
          <w:tcPr>
            <w:tcW w:w="2766" w:type="dxa"/>
          </w:tcPr>
          <w:p>
            <w:pPr>
              <w:jc w:val="center"/>
              <w:rPr>
                <w:rFonts w:ascii="宋体" w:hAnsi="宋体"/>
                <w:sz w:val="18"/>
                <w:szCs w:val="18"/>
              </w:rPr>
            </w:pPr>
            <w:r>
              <w:rPr>
                <w:rFonts w:hint="eastAsia" w:ascii="宋体" w:hAnsi="宋体"/>
                <w:sz w:val="18"/>
                <w:szCs w:val="18"/>
              </w:rPr>
              <w:t>12400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hint="eastAsia" w:ascii="宋体" w:hAnsi="宋体"/>
                <w:sz w:val="18"/>
                <w:szCs w:val="18"/>
              </w:rPr>
              <w:t>全氟</w:t>
            </w:r>
            <w:r>
              <w:rPr>
                <w:rFonts w:ascii="宋体" w:hAnsi="宋体"/>
                <w:sz w:val="18"/>
                <w:szCs w:val="18"/>
              </w:rPr>
              <w:t>丙烷</w:t>
            </w:r>
          </w:p>
        </w:tc>
        <w:tc>
          <w:tcPr>
            <w:tcW w:w="2765" w:type="dxa"/>
          </w:tcPr>
          <w:p>
            <w:pPr>
              <w:jc w:val="center"/>
              <w:rPr>
                <w:rFonts w:ascii="宋体" w:hAnsi="宋体"/>
                <w:sz w:val="18"/>
                <w:szCs w:val="18"/>
              </w:rPr>
            </w:pPr>
            <w:r>
              <w:rPr>
                <w:rFonts w:hint="eastAsia" w:ascii="宋体" w:hAnsi="宋体"/>
                <w:sz w:val="18"/>
                <w:szCs w:val="18"/>
              </w:rPr>
              <w:t>C</w:t>
            </w:r>
            <w:r>
              <w:rPr>
                <w:rFonts w:hint="eastAsia" w:ascii="宋体" w:hAnsi="宋体"/>
                <w:sz w:val="18"/>
                <w:szCs w:val="18"/>
                <w:vertAlign w:val="subscript"/>
              </w:rPr>
              <w:t>3</w:t>
            </w:r>
            <w:r>
              <w:rPr>
                <w:rFonts w:hint="eastAsia" w:ascii="宋体" w:hAnsi="宋体"/>
                <w:sz w:val="18"/>
                <w:szCs w:val="18"/>
              </w:rPr>
              <w:t>F</w:t>
            </w:r>
            <w:r>
              <w:rPr>
                <w:rFonts w:hint="eastAsia" w:ascii="宋体" w:hAnsi="宋体"/>
                <w:sz w:val="18"/>
                <w:szCs w:val="18"/>
                <w:vertAlign w:val="subscript"/>
              </w:rPr>
              <w:t>8</w:t>
            </w:r>
          </w:p>
        </w:tc>
        <w:tc>
          <w:tcPr>
            <w:tcW w:w="2766" w:type="dxa"/>
          </w:tcPr>
          <w:p>
            <w:pPr>
              <w:jc w:val="center"/>
              <w:rPr>
                <w:rFonts w:ascii="宋体" w:hAnsi="宋体"/>
                <w:sz w:val="18"/>
                <w:szCs w:val="18"/>
              </w:rPr>
            </w:pPr>
            <w:r>
              <w:rPr>
                <w:rFonts w:hint="eastAsia" w:ascii="宋体" w:hAnsi="宋体"/>
                <w:sz w:val="18"/>
                <w:szCs w:val="18"/>
              </w:rPr>
              <w:t>9290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ascii="宋体" w:hAnsi="宋体"/>
                <w:spacing w:val="-1"/>
                <w:sz w:val="18"/>
                <w:szCs w:val="18"/>
              </w:rPr>
              <w:t>全氟丁烷</w:t>
            </w:r>
          </w:p>
        </w:tc>
        <w:tc>
          <w:tcPr>
            <w:tcW w:w="2765" w:type="dxa"/>
          </w:tcPr>
          <w:p>
            <w:pPr>
              <w:jc w:val="center"/>
              <w:rPr>
                <w:rFonts w:ascii="宋体" w:hAnsi="宋体"/>
                <w:sz w:val="18"/>
                <w:szCs w:val="18"/>
              </w:rPr>
            </w:pPr>
            <w:r>
              <w:rPr>
                <w:rFonts w:hint="eastAsia" w:ascii="宋体" w:hAnsi="宋体"/>
                <w:sz w:val="18"/>
                <w:szCs w:val="18"/>
              </w:rPr>
              <w:t>C</w:t>
            </w:r>
            <w:r>
              <w:rPr>
                <w:rFonts w:hint="eastAsia" w:ascii="宋体" w:hAnsi="宋体"/>
                <w:sz w:val="18"/>
                <w:szCs w:val="18"/>
                <w:vertAlign w:val="subscript"/>
              </w:rPr>
              <w:t>4</w:t>
            </w:r>
            <w:r>
              <w:rPr>
                <w:rFonts w:hint="eastAsia" w:ascii="宋体" w:hAnsi="宋体"/>
                <w:sz w:val="18"/>
                <w:szCs w:val="18"/>
              </w:rPr>
              <w:t>F</w:t>
            </w:r>
            <w:r>
              <w:rPr>
                <w:rFonts w:hint="eastAsia" w:ascii="宋体" w:hAnsi="宋体"/>
                <w:sz w:val="18"/>
                <w:szCs w:val="18"/>
                <w:vertAlign w:val="subscript"/>
              </w:rPr>
              <w:t>10</w:t>
            </w:r>
          </w:p>
        </w:tc>
        <w:tc>
          <w:tcPr>
            <w:tcW w:w="2766" w:type="dxa"/>
          </w:tcPr>
          <w:p>
            <w:pPr>
              <w:jc w:val="center"/>
              <w:rPr>
                <w:rFonts w:ascii="宋体" w:hAnsi="宋体"/>
                <w:sz w:val="18"/>
                <w:szCs w:val="18"/>
              </w:rPr>
            </w:pPr>
            <w:r>
              <w:rPr>
                <w:rFonts w:hint="eastAsia" w:ascii="宋体" w:hAnsi="宋体"/>
                <w:sz w:val="18"/>
                <w:szCs w:val="1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65" w:type="dxa"/>
          </w:tcPr>
          <w:p>
            <w:pPr>
              <w:jc w:val="center"/>
              <w:rPr>
                <w:rFonts w:ascii="宋体" w:hAnsi="宋体"/>
                <w:sz w:val="18"/>
                <w:szCs w:val="18"/>
              </w:rPr>
            </w:pPr>
            <w:r>
              <w:rPr>
                <w:rFonts w:hint="eastAsia" w:ascii="宋体" w:hAnsi="宋体"/>
                <w:sz w:val="18"/>
                <w:szCs w:val="18"/>
              </w:rPr>
              <w:t>全氟</w:t>
            </w:r>
            <w:r>
              <w:rPr>
                <w:rFonts w:ascii="宋体" w:hAnsi="宋体"/>
                <w:sz w:val="18"/>
                <w:szCs w:val="18"/>
              </w:rPr>
              <w:t>环丁烷</w:t>
            </w:r>
          </w:p>
        </w:tc>
        <w:tc>
          <w:tcPr>
            <w:tcW w:w="2765" w:type="dxa"/>
          </w:tcPr>
          <w:p>
            <w:pPr>
              <w:jc w:val="center"/>
              <w:rPr>
                <w:rFonts w:ascii="宋体" w:hAnsi="宋体"/>
                <w:sz w:val="18"/>
                <w:szCs w:val="18"/>
              </w:rPr>
            </w:pPr>
            <w:r>
              <w:rPr>
                <w:rFonts w:hint="eastAsia" w:ascii="宋体" w:hAnsi="宋体"/>
                <w:sz w:val="18"/>
                <w:szCs w:val="18"/>
              </w:rPr>
              <w:t>C</w:t>
            </w:r>
            <w:r>
              <w:rPr>
                <w:rFonts w:hint="eastAsia" w:ascii="宋体" w:hAnsi="宋体"/>
                <w:sz w:val="18"/>
                <w:szCs w:val="18"/>
                <w:vertAlign w:val="subscript"/>
              </w:rPr>
              <w:t>4</w:t>
            </w:r>
            <w:r>
              <w:rPr>
                <w:rFonts w:hint="eastAsia" w:ascii="宋体" w:hAnsi="宋体"/>
                <w:sz w:val="18"/>
                <w:szCs w:val="18"/>
              </w:rPr>
              <w:t>F</w:t>
            </w:r>
            <w:r>
              <w:rPr>
                <w:rFonts w:hint="eastAsia" w:ascii="宋体" w:hAnsi="宋体"/>
                <w:sz w:val="18"/>
                <w:szCs w:val="18"/>
                <w:vertAlign w:val="subscript"/>
              </w:rPr>
              <w:t>8</w:t>
            </w:r>
          </w:p>
        </w:tc>
        <w:tc>
          <w:tcPr>
            <w:tcW w:w="2766" w:type="dxa"/>
          </w:tcPr>
          <w:p>
            <w:pPr>
              <w:jc w:val="center"/>
              <w:rPr>
                <w:rFonts w:ascii="宋体" w:hAnsi="宋体"/>
                <w:sz w:val="18"/>
                <w:szCs w:val="18"/>
              </w:rPr>
            </w:pPr>
            <w:r>
              <w:rPr>
                <w:rFonts w:hint="eastAsia" w:ascii="宋体" w:hAnsi="宋体"/>
                <w:sz w:val="18"/>
                <w:szCs w:val="18"/>
              </w:rPr>
              <w:t>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ascii="宋体" w:hAnsi="宋体"/>
                <w:spacing w:val="-1"/>
                <w:sz w:val="18"/>
                <w:szCs w:val="18"/>
              </w:rPr>
              <w:t>全氟戊烷</w:t>
            </w:r>
          </w:p>
        </w:tc>
        <w:tc>
          <w:tcPr>
            <w:tcW w:w="2765" w:type="dxa"/>
          </w:tcPr>
          <w:p>
            <w:pPr>
              <w:jc w:val="center"/>
              <w:rPr>
                <w:rFonts w:ascii="宋体" w:hAnsi="宋体"/>
                <w:sz w:val="18"/>
                <w:szCs w:val="18"/>
              </w:rPr>
            </w:pPr>
            <w:r>
              <w:rPr>
                <w:rFonts w:hint="eastAsia" w:ascii="宋体" w:hAnsi="宋体"/>
                <w:sz w:val="18"/>
                <w:szCs w:val="18"/>
              </w:rPr>
              <w:t>C</w:t>
            </w:r>
            <w:r>
              <w:rPr>
                <w:rFonts w:hint="eastAsia" w:ascii="宋体" w:hAnsi="宋体"/>
                <w:sz w:val="18"/>
                <w:szCs w:val="18"/>
                <w:vertAlign w:val="subscript"/>
              </w:rPr>
              <w:t>5</w:t>
            </w:r>
            <w:r>
              <w:rPr>
                <w:rFonts w:hint="eastAsia" w:ascii="宋体" w:hAnsi="宋体"/>
                <w:sz w:val="18"/>
                <w:szCs w:val="18"/>
              </w:rPr>
              <w:t>F</w:t>
            </w:r>
            <w:r>
              <w:rPr>
                <w:rFonts w:hint="eastAsia" w:ascii="宋体" w:hAnsi="宋体"/>
                <w:sz w:val="18"/>
                <w:szCs w:val="18"/>
                <w:vertAlign w:val="subscript"/>
              </w:rPr>
              <w:t>12</w:t>
            </w:r>
          </w:p>
        </w:tc>
        <w:tc>
          <w:tcPr>
            <w:tcW w:w="2766" w:type="dxa"/>
          </w:tcPr>
          <w:p>
            <w:pPr>
              <w:jc w:val="center"/>
              <w:rPr>
                <w:rFonts w:ascii="宋体" w:hAnsi="宋体"/>
                <w:sz w:val="18"/>
                <w:szCs w:val="18"/>
              </w:rPr>
            </w:pPr>
            <w:r>
              <w:rPr>
                <w:rFonts w:hint="eastAsia" w:ascii="宋体" w:hAnsi="宋体"/>
                <w:sz w:val="18"/>
                <w:szCs w:val="18"/>
              </w:rPr>
              <w:t>9220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hint="eastAsia" w:ascii="宋体" w:hAnsi="宋体"/>
                <w:spacing w:val="-1"/>
                <w:sz w:val="18"/>
                <w:szCs w:val="18"/>
              </w:rPr>
              <w:t>全氟</w:t>
            </w:r>
            <w:r>
              <w:rPr>
                <w:rFonts w:ascii="宋体" w:hAnsi="宋体"/>
                <w:sz w:val="18"/>
                <w:szCs w:val="18"/>
              </w:rPr>
              <w:t>乙</w:t>
            </w:r>
            <w:r>
              <w:rPr>
                <w:rFonts w:hint="eastAsia" w:ascii="宋体" w:hAnsi="宋体"/>
                <w:spacing w:val="-1"/>
                <w:sz w:val="18"/>
                <w:szCs w:val="18"/>
              </w:rPr>
              <w:t>烷</w:t>
            </w:r>
          </w:p>
        </w:tc>
        <w:tc>
          <w:tcPr>
            <w:tcW w:w="2765" w:type="dxa"/>
          </w:tcPr>
          <w:p>
            <w:pPr>
              <w:jc w:val="center"/>
              <w:rPr>
                <w:rFonts w:ascii="宋体" w:hAnsi="宋体"/>
                <w:sz w:val="18"/>
                <w:szCs w:val="18"/>
              </w:rPr>
            </w:pPr>
            <w:r>
              <w:rPr>
                <w:rFonts w:hint="eastAsia" w:ascii="宋体" w:hAnsi="宋体"/>
                <w:sz w:val="18"/>
                <w:szCs w:val="18"/>
              </w:rPr>
              <w:t>C</w:t>
            </w:r>
            <w:r>
              <w:rPr>
                <w:rFonts w:hint="eastAsia" w:ascii="宋体" w:hAnsi="宋体"/>
                <w:sz w:val="18"/>
                <w:szCs w:val="18"/>
                <w:vertAlign w:val="subscript"/>
              </w:rPr>
              <w:t>6</w:t>
            </w:r>
            <w:r>
              <w:rPr>
                <w:rFonts w:hint="eastAsia" w:ascii="宋体" w:hAnsi="宋体"/>
                <w:sz w:val="18"/>
                <w:szCs w:val="18"/>
              </w:rPr>
              <w:t>F</w:t>
            </w:r>
            <w:r>
              <w:rPr>
                <w:rFonts w:hint="eastAsia" w:ascii="宋体" w:hAnsi="宋体"/>
                <w:sz w:val="18"/>
                <w:szCs w:val="18"/>
                <w:vertAlign w:val="subscript"/>
              </w:rPr>
              <w:t>14</w:t>
            </w:r>
          </w:p>
        </w:tc>
        <w:tc>
          <w:tcPr>
            <w:tcW w:w="2766" w:type="dxa"/>
          </w:tcPr>
          <w:p>
            <w:pPr>
              <w:jc w:val="center"/>
              <w:rPr>
                <w:rFonts w:ascii="宋体" w:hAnsi="宋体"/>
                <w:sz w:val="18"/>
                <w:szCs w:val="18"/>
              </w:rPr>
            </w:pPr>
            <w:r>
              <w:rPr>
                <w:rFonts w:hint="eastAsia" w:ascii="宋体" w:hAnsi="宋体"/>
                <w:sz w:val="18"/>
                <w:szCs w:val="18"/>
              </w:rPr>
              <w:t>8620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3"/>
            <w:vAlign w:val="center"/>
          </w:tcPr>
          <w:p>
            <w:pPr>
              <w:pStyle w:val="181"/>
              <w:numPr>
                <w:ilvl w:val="0"/>
                <w:numId w:val="0"/>
              </w:numPr>
              <w:ind w:left="363"/>
            </w:pPr>
            <w:r>
              <w:rPr>
                <w:rFonts w:hint="eastAsia"/>
              </w:rPr>
              <w:t>注</w:t>
            </w:r>
            <w:r>
              <w:t>：部分</w:t>
            </w:r>
            <w:r>
              <w:rPr>
                <w:rFonts w:hint="eastAsia"/>
              </w:rPr>
              <w:t>GHG的GWP来源于《气候变化报告 2021：自然科学基础 第一工作组对IPCC第六次评估报告的贡献》。</w:t>
            </w:r>
          </w:p>
        </w:tc>
      </w:tr>
    </w:tbl>
    <w:p>
      <w:pPr>
        <w:pStyle w:val="58"/>
        <w:spacing w:line="360" w:lineRule="auto"/>
        <w:ind w:firstLine="0" w:firstLineChars="0"/>
        <w:sectPr>
          <w:pgSz w:w="11906" w:h="16838"/>
          <w:pgMar w:top="567" w:right="1134" w:bottom="1134" w:left="1134" w:header="1418" w:footer="1134" w:gutter="284"/>
          <w:cols w:space="425" w:num="1"/>
          <w:formProt w:val="0"/>
          <w:docGrid w:type="lines" w:linePitch="312" w:charSpace="0"/>
        </w:sectPr>
      </w:pPr>
    </w:p>
    <w:bookmarkEnd w:id="165"/>
    <w:p>
      <w:pPr>
        <w:pStyle w:val="58"/>
        <w:ind w:firstLine="0" w:firstLineChars="0"/>
        <w:jc w:val="center"/>
      </w:pPr>
      <w:bookmarkStart w:id="172" w:name="BookMark8"/>
      <w:r>
        <w:rPr>
          <w:rFonts w:hint="eastAsia"/>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1">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172"/>
    </w:p>
    <w:sectPr>
      <w:pgSz w:w="11906" w:h="16838"/>
      <w:pgMar w:top="567"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仿宋"/>
    <w:panose1 w:val="00000000000000000000"/>
    <w:charset w:val="86"/>
    <w:family w:val="auto"/>
    <w:pitch w:val="default"/>
    <w:sig w:usb0="00000000" w:usb1="00000000" w:usb2="00000016" w:usb3="00000000" w:csb0="0004000F" w:csb1="00000000"/>
  </w:font>
  <w:font w:name="Cambria Math">
    <w:altName w:val="DejaVu Math TeX Gyre"/>
    <w:panose1 w:val="00000000000000000000"/>
    <w:charset w:val="00"/>
    <w:family w:val="roman"/>
    <w:pitch w:val="default"/>
    <w:sig w:usb0="00000000" w:usb1="00000000" w:usb2="00000000" w:usb3="00000000" w:csb0="0000019F" w:csb1="00000000"/>
  </w:font>
  <w:font w:name="微软雅黑">
    <w:altName w:val="黑体"/>
    <w:panose1 w:val="00000000000000000000"/>
    <w:charset w:val="86"/>
    <w:family w:val="swiss"/>
    <w:pitch w:val="default"/>
    <w:sig w:usb0="00000000" w:usb1="00000000" w:usb2="00000016" w:usb3="00000000" w:csb0="0004001F" w:csb1="00000000"/>
  </w:font>
  <w:font w:name="DejaVu Math TeX Gyre">
    <w:panose1 w:val="02000503000000000000"/>
    <w:charset w:val="00"/>
    <w:family w:val="roman"/>
    <w:pitch w:val="default"/>
    <w:sig w:usb0="A10000EF" w:usb1="4201F9EE" w:usb2="02000000" w:usb3="00000000" w:csb0="60000193" w:csb1="0DD4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10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19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 PAGE   \* MERGEFORMAT \* MERGEFORMAT </w:instrText>
    </w:r>
    <w:r>
      <w:fldChar w:fldCharType="separate"/>
    </w:r>
    <w: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T/XXX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T/XXX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15/T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F0FF2"/>
    <w:multiLevelType w:val="multilevel"/>
    <w:tmpl w:val="DDFF0FF2"/>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FB7EFE5F"/>
    <w:multiLevelType w:val="singleLevel"/>
    <w:tmpl w:val="FB7EFE5F"/>
    <w:lvl w:ilvl="0" w:tentative="0">
      <w:start w:val="1"/>
      <w:numFmt w:val="decimal"/>
      <w:suff w:val="nothing"/>
      <w:lvlText w:val="%1）"/>
      <w:lvlJc w:val="left"/>
    </w:lvl>
  </w:abstractNum>
  <w:abstractNum w:abstractNumId="2">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D916EF5"/>
    <w:multiLevelType w:val="multilevel"/>
    <w:tmpl w:val="1D916EF5"/>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3">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44C50F90"/>
    <w:multiLevelType w:val="multilevel"/>
    <w:tmpl w:val="44C50F90"/>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0">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6">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6BE75E54"/>
    <w:multiLevelType w:val="multilevel"/>
    <w:tmpl w:val="6BE75E54"/>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9">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2">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7AA615A9"/>
    <w:multiLevelType w:val="multilevel"/>
    <w:tmpl w:val="7AA615A9"/>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2"/>
  </w:num>
  <w:num w:numId="2">
    <w:abstractNumId w:val="31"/>
  </w:num>
  <w:num w:numId="3">
    <w:abstractNumId w:val="7"/>
  </w:num>
  <w:num w:numId="4">
    <w:abstractNumId w:val="26"/>
  </w:num>
  <w:num w:numId="5">
    <w:abstractNumId w:val="21"/>
  </w:num>
  <w:num w:numId="6">
    <w:abstractNumId w:val="16"/>
  </w:num>
  <w:num w:numId="7">
    <w:abstractNumId w:val="10"/>
  </w:num>
  <w:num w:numId="8">
    <w:abstractNumId w:val="5"/>
  </w:num>
  <w:num w:numId="9">
    <w:abstractNumId w:val="12"/>
  </w:num>
  <w:num w:numId="10">
    <w:abstractNumId w:val="19"/>
  </w:num>
  <w:num w:numId="11">
    <w:abstractNumId w:val="29"/>
  </w:num>
  <w:num w:numId="12">
    <w:abstractNumId w:val="14"/>
  </w:num>
  <w:num w:numId="13">
    <w:abstractNumId w:val="11"/>
  </w:num>
  <w:num w:numId="14">
    <w:abstractNumId w:val="9"/>
  </w:num>
  <w:num w:numId="15">
    <w:abstractNumId w:val="22"/>
  </w:num>
  <w:num w:numId="16">
    <w:abstractNumId w:val="24"/>
  </w:num>
  <w:num w:numId="17">
    <w:abstractNumId w:val="20"/>
  </w:num>
  <w:num w:numId="18">
    <w:abstractNumId w:val="33"/>
  </w:num>
  <w:num w:numId="19">
    <w:abstractNumId w:val="18"/>
  </w:num>
  <w:num w:numId="20">
    <w:abstractNumId w:val="3"/>
  </w:num>
  <w:num w:numId="21">
    <w:abstractNumId w:val="13"/>
  </w:num>
  <w:num w:numId="22">
    <w:abstractNumId w:val="34"/>
  </w:num>
  <w:num w:numId="23">
    <w:abstractNumId w:val="23"/>
  </w:num>
  <w:num w:numId="24">
    <w:abstractNumId w:val="8"/>
  </w:num>
  <w:num w:numId="25">
    <w:abstractNumId w:val="30"/>
  </w:num>
  <w:num w:numId="26">
    <w:abstractNumId w:val="32"/>
  </w:num>
  <w:num w:numId="27">
    <w:abstractNumId w:val="4"/>
  </w:num>
  <w:num w:numId="28">
    <w:abstractNumId w:val="6"/>
  </w:num>
  <w:num w:numId="29">
    <w:abstractNumId w:val="17"/>
  </w:num>
  <w:num w:numId="30">
    <w:abstractNumId w:val="27"/>
  </w:num>
  <w:num w:numId="31">
    <w:abstractNumId w:val="25"/>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5"/>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E4A"/>
    <w:rsid w:val="0000040A"/>
    <w:rsid w:val="00000A94"/>
    <w:rsid w:val="00001972"/>
    <w:rsid w:val="00001D9A"/>
    <w:rsid w:val="000046C9"/>
    <w:rsid w:val="00005C5A"/>
    <w:rsid w:val="00007B3A"/>
    <w:rsid w:val="0001038C"/>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4785"/>
    <w:rsid w:val="000359C3"/>
    <w:rsid w:val="00035A7D"/>
    <w:rsid w:val="000365ED"/>
    <w:rsid w:val="000376D1"/>
    <w:rsid w:val="000405C9"/>
    <w:rsid w:val="00041CA2"/>
    <w:rsid w:val="0004249A"/>
    <w:rsid w:val="00043282"/>
    <w:rsid w:val="00044286"/>
    <w:rsid w:val="00047F28"/>
    <w:rsid w:val="000503AA"/>
    <w:rsid w:val="000506A1"/>
    <w:rsid w:val="000515DD"/>
    <w:rsid w:val="0005265A"/>
    <w:rsid w:val="00052CD8"/>
    <w:rsid w:val="000539DD"/>
    <w:rsid w:val="00053BD3"/>
    <w:rsid w:val="000556ED"/>
    <w:rsid w:val="00055FE2"/>
    <w:rsid w:val="0005616F"/>
    <w:rsid w:val="00060C2E"/>
    <w:rsid w:val="00061033"/>
    <w:rsid w:val="000614F7"/>
    <w:rsid w:val="000619E9"/>
    <w:rsid w:val="000622D4"/>
    <w:rsid w:val="0006357D"/>
    <w:rsid w:val="00067039"/>
    <w:rsid w:val="00067F1E"/>
    <w:rsid w:val="00071CC0"/>
    <w:rsid w:val="00071CFC"/>
    <w:rsid w:val="00072788"/>
    <w:rsid w:val="00073C8C"/>
    <w:rsid w:val="00076856"/>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973FA"/>
    <w:rsid w:val="000A0B60"/>
    <w:rsid w:val="000A0EB8"/>
    <w:rsid w:val="000A0EBC"/>
    <w:rsid w:val="000A19FC"/>
    <w:rsid w:val="000A296B"/>
    <w:rsid w:val="000A7311"/>
    <w:rsid w:val="000B0276"/>
    <w:rsid w:val="000B060F"/>
    <w:rsid w:val="000B1592"/>
    <w:rsid w:val="000B1FF2"/>
    <w:rsid w:val="000B3CDA"/>
    <w:rsid w:val="000B6A0B"/>
    <w:rsid w:val="000B6BDC"/>
    <w:rsid w:val="000C0F6C"/>
    <w:rsid w:val="000C11DB"/>
    <w:rsid w:val="000C1492"/>
    <w:rsid w:val="000C2FBD"/>
    <w:rsid w:val="000C4B41"/>
    <w:rsid w:val="000C57D6"/>
    <w:rsid w:val="000C6362"/>
    <w:rsid w:val="000C7666"/>
    <w:rsid w:val="000D0A9C"/>
    <w:rsid w:val="000D1795"/>
    <w:rsid w:val="000D2FE5"/>
    <w:rsid w:val="000D329A"/>
    <w:rsid w:val="000D4B9C"/>
    <w:rsid w:val="000D4EB6"/>
    <w:rsid w:val="000D51A7"/>
    <w:rsid w:val="000D753B"/>
    <w:rsid w:val="000E4C9E"/>
    <w:rsid w:val="000E6FD7"/>
    <w:rsid w:val="000F06E1"/>
    <w:rsid w:val="000F0E3C"/>
    <w:rsid w:val="000F19D5"/>
    <w:rsid w:val="000F4050"/>
    <w:rsid w:val="000F4AEA"/>
    <w:rsid w:val="000F67E9"/>
    <w:rsid w:val="00104926"/>
    <w:rsid w:val="00113B1E"/>
    <w:rsid w:val="0011711C"/>
    <w:rsid w:val="0012225B"/>
    <w:rsid w:val="00124E4F"/>
    <w:rsid w:val="001260B7"/>
    <w:rsid w:val="001265CB"/>
    <w:rsid w:val="001302F1"/>
    <w:rsid w:val="001321C6"/>
    <w:rsid w:val="001325C4"/>
    <w:rsid w:val="00133010"/>
    <w:rsid w:val="001338EE"/>
    <w:rsid w:val="00133AAE"/>
    <w:rsid w:val="00135323"/>
    <w:rsid w:val="001356C4"/>
    <w:rsid w:val="00137565"/>
    <w:rsid w:val="00141114"/>
    <w:rsid w:val="00142969"/>
    <w:rsid w:val="001446C2"/>
    <w:rsid w:val="001457E7"/>
    <w:rsid w:val="00145979"/>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49F"/>
    <w:rsid w:val="0016580B"/>
    <w:rsid w:val="00165F49"/>
    <w:rsid w:val="00166B88"/>
    <w:rsid w:val="00166EE9"/>
    <w:rsid w:val="0016770A"/>
    <w:rsid w:val="00170804"/>
    <w:rsid w:val="001708E9"/>
    <w:rsid w:val="0017340B"/>
    <w:rsid w:val="00173FB1"/>
    <w:rsid w:val="00174CEB"/>
    <w:rsid w:val="00176DFD"/>
    <w:rsid w:val="001852C9"/>
    <w:rsid w:val="001879BB"/>
    <w:rsid w:val="00187A0B"/>
    <w:rsid w:val="00190087"/>
    <w:rsid w:val="001913C4"/>
    <w:rsid w:val="0019348F"/>
    <w:rsid w:val="00193A07"/>
    <w:rsid w:val="00194C95"/>
    <w:rsid w:val="00195C34"/>
    <w:rsid w:val="00196EF5"/>
    <w:rsid w:val="001A1A53"/>
    <w:rsid w:val="001A234A"/>
    <w:rsid w:val="001A4483"/>
    <w:rsid w:val="001A4CF3"/>
    <w:rsid w:val="001A6696"/>
    <w:rsid w:val="001B06E8"/>
    <w:rsid w:val="001B3EA0"/>
    <w:rsid w:val="001B71D0"/>
    <w:rsid w:val="001B71EE"/>
    <w:rsid w:val="001C04A8"/>
    <w:rsid w:val="001C1010"/>
    <w:rsid w:val="001C2C03"/>
    <w:rsid w:val="001C42F7"/>
    <w:rsid w:val="001C49E5"/>
    <w:rsid w:val="001C680C"/>
    <w:rsid w:val="001C7FEA"/>
    <w:rsid w:val="001D0499"/>
    <w:rsid w:val="001D0BBE"/>
    <w:rsid w:val="001D0ED4"/>
    <w:rsid w:val="001D212F"/>
    <w:rsid w:val="001D29D7"/>
    <w:rsid w:val="001D2DE7"/>
    <w:rsid w:val="001D411C"/>
    <w:rsid w:val="001E1B6A"/>
    <w:rsid w:val="001E239B"/>
    <w:rsid w:val="001E2484"/>
    <w:rsid w:val="001E34DE"/>
    <w:rsid w:val="001E3CC4"/>
    <w:rsid w:val="001E4882"/>
    <w:rsid w:val="001E5250"/>
    <w:rsid w:val="001E73AB"/>
    <w:rsid w:val="001F092D"/>
    <w:rsid w:val="001F143A"/>
    <w:rsid w:val="001F1605"/>
    <w:rsid w:val="001F2508"/>
    <w:rsid w:val="001F26DE"/>
    <w:rsid w:val="001F3CAE"/>
    <w:rsid w:val="001F4816"/>
    <w:rsid w:val="001F69B4"/>
    <w:rsid w:val="001F77C7"/>
    <w:rsid w:val="001F7FE1"/>
    <w:rsid w:val="00200183"/>
    <w:rsid w:val="002001E4"/>
    <w:rsid w:val="00200333"/>
    <w:rsid w:val="0020107D"/>
    <w:rsid w:val="00201C46"/>
    <w:rsid w:val="00202AA4"/>
    <w:rsid w:val="002031F7"/>
    <w:rsid w:val="002040E6"/>
    <w:rsid w:val="00204C6D"/>
    <w:rsid w:val="002051C3"/>
    <w:rsid w:val="0020527B"/>
    <w:rsid w:val="00205F2C"/>
    <w:rsid w:val="00210B15"/>
    <w:rsid w:val="00212993"/>
    <w:rsid w:val="00212CE7"/>
    <w:rsid w:val="002142EA"/>
    <w:rsid w:val="00215ADD"/>
    <w:rsid w:val="002204BB"/>
    <w:rsid w:val="00221B79"/>
    <w:rsid w:val="00221C6B"/>
    <w:rsid w:val="002223E7"/>
    <w:rsid w:val="002253A1"/>
    <w:rsid w:val="002259C9"/>
    <w:rsid w:val="00225CF8"/>
    <w:rsid w:val="0022794E"/>
    <w:rsid w:val="00233D64"/>
    <w:rsid w:val="00234053"/>
    <w:rsid w:val="0023482A"/>
    <w:rsid w:val="002359CB"/>
    <w:rsid w:val="002412A6"/>
    <w:rsid w:val="00242DC1"/>
    <w:rsid w:val="00243540"/>
    <w:rsid w:val="0024497B"/>
    <w:rsid w:val="0024515B"/>
    <w:rsid w:val="00246021"/>
    <w:rsid w:val="0024666E"/>
    <w:rsid w:val="00247F52"/>
    <w:rsid w:val="002503B3"/>
    <w:rsid w:val="00250B25"/>
    <w:rsid w:val="00250BBE"/>
    <w:rsid w:val="002515C2"/>
    <w:rsid w:val="0025194F"/>
    <w:rsid w:val="00260699"/>
    <w:rsid w:val="0026148A"/>
    <w:rsid w:val="00262696"/>
    <w:rsid w:val="00263D25"/>
    <w:rsid w:val="002643C3"/>
    <w:rsid w:val="00264A0C"/>
    <w:rsid w:val="00266EEB"/>
    <w:rsid w:val="00267EF4"/>
    <w:rsid w:val="00270CB8"/>
    <w:rsid w:val="00272B08"/>
    <w:rsid w:val="00274032"/>
    <w:rsid w:val="00281BB8"/>
    <w:rsid w:val="00281E9E"/>
    <w:rsid w:val="00282405"/>
    <w:rsid w:val="00282940"/>
    <w:rsid w:val="00285170"/>
    <w:rsid w:val="00285361"/>
    <w:rsid w:val="00292D60"/>
    <w:rsid w:val="00292F6A"/>
    <w:rsid w:val="00293B30"/>
    <w:rsid w:val="00294D34"/>
    <w:rsid w:val="00294E3B"/>
    <w:rsid w:val="00296193"/>
    <w:rsid w:val="00296C66"/>
    <w:rsid w:val="00296EBE"/>
    <w:rsid w:val="002974E3"/>
    <w:rsid w:val="002A067E"/>
    <w:rsid w:val="002A084B"/>
    <w:rsid w:val="002A1260"/>
    <w:rsid w:val="002A1589"/>
    <w:rsid w:val="002A1608"/>
    <w:rsid w:val="002A25DC"/>
    <w:rsid w:val="002A3AAB"/>
    <w:rsid w:val="002A4CEA"/>
    <w:rsid w:val="002A5977"/>
    <w:rsid w:val="002A5A13"/>
    <w:rsid w:val="002A757F"/>
    <w:rsid w:val="002A7F44"/>
    <w:rsid w:val="002B0C40"/>
    <w:rsid w:val="002B1966"/>
    <w:rsid w:val="002B270E"/>
    <w:rsid w:val="002B4508"/>
    <w:rsid w:val="002B5779"/>
    <w:rsid w:val="002B5832"/>
    <w:rsid w:val="002B7332"/>
    <w:rsid w:val="002B7F51"/>
    <w:rsid w:val="002C09E7"/>
    <w:rsid w:val="002C1E06"/>
    <w:rsid w:val="002C3F07"/>
    <w:rsid w:val="002C5278"/>
    <w:rsid w:val="002C7EBB"/>
    <w:rsid w:val="002D06C1"/>
    <w:rsid w:val="002D09B1"/>
    <w:rsid w:val="002D42B5"/>
    <w:rsid w:val="002D4F1A"/>
    <w:rsid w:val="002D6EC6"/>
    <w:rsid w:val="002D79AC"/>
    <w:rsid w:val="002E039D"/>
    <w:rsid w:val="002E4D5A"/>
    <w:rsid w:val="002E6326"/>
    <w:rsid w:val="002F0537"/>
    <w:rsid w:val="002F0A63"/>
    <w:rsid w:val="002F2DB4"/>
    <w:rsid w:val="002F30E0"/>
    <w:rsid w:val="002F3361"/>
    <w:rsid w:val="002F35E4"/>
    <w:rsid w:val="002F3730"/>
    <w:rsid w:val="002F38E1"/>
    <w:rsid w:val="002F7AF6"/>
    <w:rsid w:val="002F7D89"/>
    <w:rsid w:val="00300E63"/>
    <w:rsid w:val="00302F5F"/>
    <w:rsid w:val="0030441D"/>
    <w:rsid w:val="00306063"/>
    <w:rsid w:val="00312BBB"/>
    <w:rsid w:val="00313B85"/>
    <w:rsid w:val="00317988"/>
    <w:rsid w:val="00321AD1"/>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57FE1"/>
    <w:rsid w:val="0036107C"/>
    <w:rsid w:val="003615D2"/>
    <w:rsid w:val="0036429C"/>
    <w:rsid w:val="00364A53"/>
    <w:rsid w:val="00364AED"/>
    <w:rsid w:val="003654CB"/>
    <w:rsid w:val="00365AA9"/>
    <w:rsid w:val="00365F86"/>
    <w:rsid w:val="00365F87"/>
    <w:rsid w:val="00366E89"/>
    <w:rsid w:val="003705F4"/>
    <w:rsid w:val="00370D58"/>
    <w:rsid w:val="00370E2B"/>
    <w:rsid w:val="00371316"/>
    <w:rsid w:val="00376713"/>
    <w:rsid w:val="00381459"/>
    <w:rsid w:val="00381815"/>
    <w:rsid w:val="003819AF"/>
    <w:rsid w:val="003820E9"/>
    <w:rsid w:val="00382DE7"/>
    <w:rsid w:val="00384E14"/>
    <w:rsid w:val="00384FFC"/>
    <w:rsid w:val="003872B5"/>
    <w:rsid w:val="003872FC"/>
    <w:rsid w:val="00387ADC"/>
    <w:rsid w:val="00390020"/>
    <w:rsid w:val="003903D6"/>
    <w:rsid w:val="00390EE6"/>
    <w:rsid w:val="0039118F"/>
    <w:rsid w:val="00392AD7"/>
    <w:rsid w:val="003932D2"/>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4489"/>
    <w:rsid w:val="003D6D61"/>
    <w:rsid w:val="003E091D"/>
    <w:rsid w:val="003E1C53"/>
    <w:rsid w:val="003E237C"/>
    <w:rsid w:val="003E2A69"/>
    <w:rsid w:val="003E2D49"/>
    <w:rsid w:val="003E2FD4"/>
    <w:rsid w:val="003E49F6"/>
    <w:rsid w:val="003E660F"/>
    <w:rsid w:val="003F0841"/>
    <w:rsid w:val="003F23D3"/>
    <w:rsid w:val="003F2FC3"/>
    <w:rsid w:val="003F3F08"/>
    <w:rsid w:val="003F49F1"/>
    <w:rsid w:val="003F6272"/>
    <w:rsid w:val="00400E72"/>
    <w:rsid w:val="00401400"/>
    <w:rsid w:val="00404869"/>
    <w:rsid w:val="00405884"/>
    <w:rsid w:val="00407D39"/>
    <w:rsid w:val="0041477A"/>
    <w:rsid w:val="004167A3"/>
    <w:rsid w:val="0042705C"/>
    <w:rsid w:val="00432DAA"/>
    <w:rsid w:val="00432EEA"/>
    <w:rsid w:val="00434305"/>
    <w:rsid w:val="00435DF7"/>
    <w:rsid w:val="0044083F"/>
    <w:rsid w:val="00441AE7"/>
    <w:rsid w:val="00445574"/>
    <w:rsid w:val="004467A7"/>
    <w:rsid w:val="004467FB"/>
    <w:rsid w:val="00452D6B"/>
    <w:rsid w:val="00454484"/>
    <w:rsid w:val="0045517B"/>
    <w:rsid w:val="00460DC5"/>
    <w:rsid w:val="00463B77"/>
    <w:rsid w:val="00463C7B"/>
    <w:rsid w:val="004644A6"/>
    <w:rsid w:val="004659BD"/>
    <w:rsid w:val="00470379"/>
    <w:rsid w:val="00470775"/>
    <w:rsid w:val="00471FE7"/>
    <w:rsid w:val="00473224"/>
    <w:rsid w:val="004740A0"/>
    <w:rsid w:val="004746B1"/>
    <w:rsid w:val="0047583F"/>
    <w:rsid w:val="00475DE8"/>
    <w:rsid w:val="004763B8"/>
    <w:rsid w:val="00481C44"/>
    <w:rsid w:val="00484936"/>
    <w:rsid w:val="00485C89"/>
    <w:rsid w:val="00486BE3"/>
    <w:rsid w:val="004905E4"/>
    <w:rsid w:val="00490A89"/>
    <w:rsid w:val="00490AB4"/>
    <w:rsid w:val="00492F02"/>
    <w:rsid w:val="004939AE"/>
    <w:rsid w:val="00495F01"/>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5627"/>
    <w:rsid w:val="004D7C42"/>
    <w:rsid w:val="004E0465"/>
    <w:rsid w:val="004E127B"/>
    <w:rsid w:val="004E1C0A"/>
    <w:rsid w:val="004E30C5"/>
    <w:rsid w:val="004E4AA5"/>
    <w:rsid w:val="004E4AEE"/>
    <w:rsid w:val="004E5486"/>
    <w:rsid w:val="004E588E"/>
    <w:rsid w:val="004E59E3"/>
    <w:rsid w:val="004E67C0"/>
    <w:rsid w:val="004F02D4"/>
    <w:rsid w:val="004F0EA9"/>
    <w:rsid w:val="004F391A"/>
    <w:rsid w:val="004F3CFB"/>
    <w:rsid w:val="004F3D1A"/>
    <w:rsid w:val="004F6456"/>
    <w:rsid w:val="004F696E"/>
    <w:rsid w:val="004F6C71"/>
    <w:rsid w:val="00501139"/>
    <w:rsid w:val="005011A3"/>
    <w:rsid w:val="00501F10"/>
    <w:rsid w:val="0050363E"/>
    <w:rsid w:val="005039BC"/>
    <w:rsid w:val="005043BB"/>
    <w:rsid w:val="00504A3D"/>
    <w:rsid w:val="00505767"/>
    <w:rsid w:val="005073F0"/>
    <w:rsid w:val="00510A7B"/>
    <w:rsid w:val="005117A6"/>
    <w:rsid w:val="00512F6E"/>
    <w:rsid w:val="00513038"/>
    <w:rsid w:val="00514174"/>
    <w:rsid w:val="00516088"/>
    <w:rsid w:val="00516B0B"/>
    <w:rsid w:val="005220EC"/>
    <w:rsid w:val="00523F95"/>
    <w:rsid w:val="00524D65"/>
    <w:rsid w:val="00525B16"/>
    <w:rsid w:val="00527377"/>
    <w:rsid w:val="00532225"/>
    <w:rsid w:val="00533B34"/>
    <w:rsid w:val="00533D04"/>
    <w:rsid w:val="00534804"/>
    <w:rsid w:val="00534BDF"/>
    <w:rsid w:val="0053509D"/>
    <w:rsid w:val="005354EA"/>
    <w:rsid w:val="0053585F"/>
    <w:rsid w:val="00535EC4"/>
    <w:rsid w:val="00535ED9"/>
    <w:rsid w:val="0053692B"/>
    <w:rsid w:val="00541853"/>
    <w:rsid w:val="00543BDA"/>
    <w:rsid w:val="005441CC"/>
    <w:rsid w:val="00545EAD"/>
    <w:rsid w:val="005479DA"/>
    <w:rsid w:val="00547BCC"/>
    <w:rsid w:val="0055013B"/>
    <w:rsid w:val="00551F6F"/>
    <w:rsid w:val="00555044"/>
    <w:rsid w:val="00561475"/>
    <w:rsid w:val="00562308"/>
    <w:rsid w:val="0056487B"/>
    <w:rsid w:val="00564FB9"/>
    <w:rsid w:val="00565B97"/>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2204"/>
    <w:rsid w:val="005B3B97"/>
    <w:rsid w:val="005B4903"/>
    <w:rsid w:val="005B51CE"/>
    <w:rsid w:val="005B5885"/>
    <w:rsid w:val="005B5C7F"/>
    <w:rsid w:val="005B5CD7"/>
    <w:rsid w:val="005B6CF6"/>
    <w:rsid w:val="005B7422"/>
    <w:rsid w:val="005C29B8"/>
    <w:rsid w:val="005C5F21"/>
    <w:rsid w:val="005C7156"/>
    <w:rsid w:val="005C7B0E"/>
    <w:rsid w:val="005D0C75"/>
    <w:rsid w:val="005D4171"/>
    <w:rsid w:val="005D6A95"/>
    <w:rsid w:val="005D6B2C"/>
    <w:rsid w:val="005D6D9C"/>
    <w:rsid w:val="005D79A5"/>
    <w:rsid w:val="005E2335"/>
    <w:rsid w:val="005E34CA"/>
    <w:rsid w:val="005E3C18"/>
    <w:rsid w:val="005E4250"/>
    <w:rsid w:val="005E5268"/>
    <w:rsid w:val="005E6812"/>
    <w:rsid w:val="005E7881"/>
    <w:rsid w:val="005E78E0"/>
    <w:rsid w:val="005F0D9C"/>
    <w:rsid w:val="005F284E"/>
    <w:rsid w:val="006015CE"/>
    <w:rsid w:val="00604784"/>
    <w:rsid w:val="00606419"/>
    <w:rsid w:val="00607D29"/>
    <w:rsid w:val="00610040"/>
    <w:rsid w:val="00612952"/>
    <w:rsid w:val="00614CC1"/>
    <w:rsid w:val="00615A9D"/>
    <w:rsid w:val="00617387"/>
    <w:rsid w:val="006205D6"/>
    <w:rsid w:val="006252D8"/>
    <w:rsid w:val="006259BC"/>
    <w:rsid w:val="0062636B"/>
    <w:rsid w:val="006302FE"/>
    <w:rsid w:val="00632182"/>
    <w:rsid w:val="00632AE0"/>
    <w:rsid w:val="00633C17"/>
    <w:rsid w:val="00634D9E"/>
    <w:rsid w:val="00636E3E"/>
    <w:rsid w:val="006379F7"/>
    <w:rsid w:val="00637E4D"/>
    <w:rsid w:val="00640620"/>
    <w:rsid w:val="00641A1F"/>
    <w:rsid w:val="00645904"/>
    <w:rsid w:val="006476C6"/>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0157"/>
    <w:rsid w:val="0069375C"/>
    <w:rsid w:val="006A07AA"/>
    <w:rsid w:val="006A25E5"/>
    <w:rsid w:val="006A2B46"/>
    <w:rsid w:val="006A336D"/>
    <w:rsid w:val="006A37B9"/>
    <w:rsid w:val="006A700E"/>
    <w:rsid w:val="006B2672"/>
    <w:rsid w:val="006B3E3F"/>
    <w:rsid w:val="006B43BF"/>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52D1"/>
    <w:rsid w:val="006F03A8"/>
    <w:rsid w:val="006F1571"/>
    <w:rsid w:val="006F2ACA"/>
    <w:rsid w:val="006F2ADC"/>
    <w:rsid w:val="006F2BFE"/>
    <w:rsid w:val="006F31E9"/>
    <w:rsid w:val="006F6284"/>
    <w:rsid w:val="007002C5"/>
    <w:rsid w:val="00704387"/>
    <w:rsid w:val="00704667"/>
    <w:rsid w:val="00707669"/>
    <w:rsid w:val="00711CBA"/>
    <w:rsid w:val="00711FB5"/>
    <w:rsid w:val="007125C2"/>
    <w:rsid w:val="00712A01"/>
    <w:rsid w:val="00714F58"/>
    <w:rsid w:val="00722FBF"/>
    <w:rsid w:val="00722FC2"/>
    <w:rsid w:val="00724E1B"/>
    <w:rsid w:val="00725949"/>
    <w:rsid w:val="007278BD"/>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0B7C"/>
    <w:rsid w:val="007633E6"/>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4CA7"/>
    <w:rsid w:val="007B5A3D"/>
    <w:rsid w:val="007B5B95"/>
    <w:rsid w:val="007B6032"/>
    <w:rsid w:val="007B68EA"/>
    <w:rsid w:val="007B7453"/>
    <w:rsid w:val="007C287A"/>
    <w:rsid w:val="007C2D89"/>
    <w:rsid w:val="007C4593"/>
    <w:rsid w:val="007C5309"/>
    <w:rsid w:val="007C6069"/>
    <w:rsid w:val="007D06C4"/>
    <w:rsid w:val="007D1352"/>
    <w:rsid w:val="007D2508"/>
    <w:rsid w:val="007D346A"/>
    <w:rsid w:val="007D6518"/>
    <w:rsid w:val="007D76BD"/>
    <w:rsid w:val="007E0BF1"/>
    <w:rsid w:val="007E1E62"/>
    <w:rsid w:val="007E4239"/>
    <w:rsid w:val="007F0ED8"/>
    <w:rsid w:val="007F0F63"/>
    <w:rsid w:val="007F75CE"/>
    <w:rsid w:val="008013A4"/>
    <w:rsid w:val="00801C0B"/>
    <w:rsid w:val="00802197"/>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45C2"/>
    <w:rsid w:val="00825138"/>
    <w:rsid w:val="008269DD"/>
    <w:rsid w:val="00830621"/>
    <w:rsid w:val="0083348C"/>
    <w:rsid w:val="00836BB4"/>
    <w:rsid w:val="00836F01"/>
    <w:rsid w:val="008373D3"/>
    <w:rsid w:val="00840617"/>
    <w:rsid w:val="00840F84"/>
    <w:rsid w:val="00841C69"/>
    <w:rsid w:val="0084253A"/>
    <w:rsid w:val="00842A47"/>
    <w:rsid w:val="00843C13"/>
    <w:rsid w:val="008454F8"/>
    <w:rsid w:val="0085173A"/>
    <w:rsid w:val="00852E74"/>
    <w:rsid w:val="008603CE"/>
    <w:rsid w:val="00861406"/>
    <w:rsid w:val="008620FC"/>
    <w:rsid w:val="008627A5"/>
    <w:rsid w:val="00863E05"/>
    <w:rsid w:val="00865ACA"/>
    <w:rsid w:val="00865D28"/>
    <w:rsid w:val="00865F85"/>
    <w:rsid w:val="00867C10"/>
    <w:rsid w:val="00870439"/>
    <w:rsid w:val="00870DA1"/>
    <w:rsid w:val="00883F93"/>
    <w:rsid w:val="00884DB3"/>
    <w:rsid w:val="00885A9D"/>
    <w:rsid w:val="008861CD"/>
    <w:rsid w:val="008864F6"/>
    <w:rsid w:val="0089049D"/>
    <w:rsid w:val="008928C9"/>
    <w:rsid w:val="008930CB"/>
    <w:rsid w:val="008938DC"/>
    <w:rsid w:val="00893FD1"/>
    <w:rsid w:val="00894836"/>
    <w:rsid w:val="00895172"/>
    <w:rsid w:val="00895680"/>
    <w:rsid w:val="00896DFF"/>
    <w:rsid w:val="0089762C"/>
    <w:rsid w:val="008A173B"/>
    <w:rsid w:val="008A1893"/>
    <w:rsid w:val="008A2AF5"/>
    <w:rsid w:val="008A57E6"/>
    <w:rsid w:val="008A6F81"/>
    <w:rsid w:val="008A769A"/>
    <w:rsid w:val="008B018F"/>
    <w:rsid w:val="008B0C9C"/>
    <w:rsid w:val="008B166D"/>
    <w:rsid w:val="008B17F4"/>
    <w:rsid w:val="008B3615"/>
    <w:rsid w:val="008B4AC4"/>
    <w:rsid w:val="008B50C8"/>
    <w:rsid w:val="008B5281"/>
    <w:rsid w:val="008B7E05"/>
    <w:rsid w:val="008C1797"/>
    <w:rsid w:val="008C219C"/>
    <w:rsid w:val="008C2F43"/>
    <w:rsid w:val="008C475E"/>
    <w:rsid w:val="008C619A"/>
    <w:rsid w:val="008D004D"/>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0E7D"/>
    <w:rsid w:val="008F17A3"/>
    <w:rsid w:val="008F1ED3"/>
    <w:rsid w:val="008F4C29"/>
    <w:rsid w:val="008F70BD"/>
    <w:rsid w:val="008F788F"/>
    <w:rsid w:val="008F7EA2"/>
    <w:rsid w:val="00902722"/>
    <w:rsid w:val="009027BC"/>
    <w:rsid w:val="00903B69"/>
    <w:rsid w:val="009062E6"/>
    <w:rsid w:val="009100E7"/>
    <w:rsid w:val="00910CC3"/>
    <w:rsid w:val="00911BE5"/>
    <w:rsid w:val="00913CA9"/>
    <w:rsid w:val="009145AE"/>
    <w:rsid w:val="009146CE"/>
    <w:rsid w:val="00914CA7"/>
    <w:rsid w:val="00915C3E"/>
    <w:rsid w:val="009161A8"/>
    <w:rsid w:val="00923AE2"/>
    <w:rsid w:val="009245AE"/>
    <w:rsid w:val="009245F5"/>
    <w:rsid w:val="009249EC"/>
    <w:rsid w:val="009273B3"/>
    <w:rsid w:val="009305B5"/>
    <w:rsid w:val="00935792"/>
    <w:rsid w:val="009378DD"/>
    <w:rsid w:val="00937C5E"/>
    <w:rsid w:val="009429D5"/>
    <w:rsid w:val="00942BF1"/>
    <w:rsid w:val="00945180"/>
    <w:rsid w:val="00945428"/>
    <w:rsid w:val="0094607B"/>
    <w:rsid w:val="00953604"/>
    <w:rsid w:val="0095496B"/>
    <w:rsid w:val="00960F1E"/>
    <w:rsid w:val="009610DC"/>
    <w:rsid w:val="00961490"/>
    <w:rsid w:val="0096381A"/>
    <w:rsid w:val="00965E04"/>
    <w:rsid w:val="00966DA6"/>
    <w:rsid w:val="009674AD"/>
    <w:rsid w:val="00970CDC"/>
    <w:rsid w:val="00975727"/>
    <w:rsid w:val="00977010"/>
    <w:rsid w:val="00977D02"/>
    <w:rsid w:val="00977FF9"/>
    <w:rsid w:val="009809BB"/>
    <w:rsid w:val="0098364B"/>
    <w:rsid w:val="00986F06"/>
    <w:rsid w:val="009911AF"/>
    <w:rsid w:val="00991875"/>
    <w:rsid w:val="00991F92"/>
    <w:rsid w:val="00992985"/>
    <w:rsid w:val="00992D51"/>
    <w:rsid w:val="00993889"/>
    <w:rsid w:val="0099551B"/>
    <w:rsid w:val="00996BD2"/>
    <w:rsid w:val="009976EB"/>
    <w:rsid w:val="00997BF1"/>
    <w:rsid w:val="009A089C"/>
    <w:rsid w:val="009A118E"/>
    <w:rsid w:val="009A21CD"/>
    <w:rsid w:val="009A278C"/>
    <w:rsid w:val="009A2BC2"/>
    <w:rsid w:val="009A42C1"/>
    <w:rsid w:val="009A446A"/>
    <w:rsid w:val="009A5429"/>
    <w:rsid w:val="009A72AD"/>
    <w:rsid w:val="009B09E0"/>
    <w:rsid w:val="009B0BC5"/>
    <w:rsid w:val="009B1247"/>
    <w:rsid w:val="009B33C6"/>
    <w:rsid w:val="009B6029"/>
    <w:rsid w:val="009B6971"/>
    <w:rsid w:val="009C0F0D"/>
    <w:rsid w:val="009C27F1"/>
    <w:rsid w:val="009C3152"/>
    <w:rsid w:val="009C3257"/>
    <w:rsid w:val="009C4CFA"/>
    <w:rsid w:val="009C5070"/>
    <w:rsid w:val="009D112C"/>
    <w:rsid w:val="009D1318"/>
    <w:rsid w:val="009D1385"/>
    <w:rsid w:val="009D2333"/>
    <w:rsid w:val="009D47FA"/>
    <w:rsid w:val="009D4C5B"/>
    <w:rsid w:val="009D50D2"/>
    <w:rsid w:val="009D6BCA"/>
    <w:rsid w:val="009E0F62"/>
    <w:rsid w:val="009E4A58"/>
    <w:rsid w:val="009E4BD4"/>
    <w:rsid w:val="009E5A2D"/>
    <w:rsid w:val="009E5AB2"/>
    <w:rsid w:val="009E6219"/>
    <w:rsid w:val="009F03B3"/>
    <w:rsid w:val="009F2058"/>
    <w:rsid w:val="00A0096C"/>
    <w:rsid w:val="00A01757"/>
    <w:rsid w:val="00A028C0"/>
    <w:rsid w:val="00A02BAE"/>
    <w:rsid w:val="00A06A6B"/>
    <w:rsid w:val="00A07E47"/>
    <w:rsid w:val="00A11D90"/>
    <w:rsid w:val="00A129D0"/>
    <w:rsid w:val="00A12C33"/>
    <w:rsid w:val="00A132BF"/>
    <w:rsid w:val="00A138BA"/>
    <w:rsid w:val="00A1419A"/>
    <w:rsid w:val="00A14C8E"/>
    <w:rsid w:val="00A153D9"/>
    <w:rsid w:val="00A15F09"/>
    <w:rsid w:val="00A169B6"/>
    <w:rsid w:val="00A2271D"/>
    <w:rsid w:val="00A237D5"/>
    <w:rsid w:val="00A30EFC"/>
    <w:rsid w:val="00A31984"/>
    <w:rsid w:val="00A32D73"/>
    <w:rsid w:val="00A3367B"/>
    <w:rsid w:val="00A3597D"/>
    <w:rsid w:val="00A36DD1"/>
    <w:rsid w:val="00A37476"/>
    <w:rsid w:val="00A4006C"/>
    <w:rsid w:val="00A40091"/>
    <w:rsid w:val="00A4030F"/>
    <w:rsid w:val="00A41C79"/>
    <w:rsid w:val="00A41CB5"/>
    <w:rsid w:val="00A42CDF"/>
    <w:rsid w:val="00A4452E"/>
    <w:rsid w:val="00A4472C"/>
    <w:rsid w:val="00A44E69"/>
    <w:rsid w:val="00A4661E"/>
    <w:rsid w:val="00A512BD"/>
    <w:rsid w:val="00A53251"/>
    <w:rsid w:val="00A55BD6"/>
    <w:rsid w:val="00A55D50"/>
    <w:rsid w:val="00A57142"/>
    <w:rsid w:val="00A57E12"/>
    <w:rsid w:val="00A648CD"/>
    <w:rsid w:val="00A6537A"/>
    <w:rsid w:val="00A677C4"/>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5E61"/>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699B"/>
    <w:rsid w:val="00AD6CB9"/>
    <w:rsid w:val="00AE070A"/>
    <w:rsid w:val="00AE0AA4"/>
    <w:rsid w:val="00AE101C"/>
    <w:rsid w:val="00AE2A69"/>
    <w:rsid w:val="00AE37E5"/>
    <w:rsid w:val="00AE5EB4"/>
    <w:rsid w:val="00AE7DF3"/>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D3E"/>
    <w:rsid w:val="00B31FB1"/>
    <w:rsid w:val="00B33952"/>
    <w:rsid w:val="00B33C5E"/>
    <w:rsid w:val="00B342F4"/>
    <w:rsid w:val="00B34369"/>
    <w:rsid w:val="00B34DC2"/>
    <w:rsid w:val="00B373A5"/>
    <w:rsid w:val="00B378E5"/>
    <w:rsid w:val="00B4346D"/>
    <w:rsid w:val="00B440F4"/>
    <w:rsid w:val="00B447A5"/>
    <w:rsid w:val="00B4654C"/>
    <w:rsid w:val="00B47293"/>
    <w:rsid w:val="00B50E50"/>
    <w:rsid w:val="00B52120"/>
    <w:rsid w:val="00B54ABC"/>
    <w:rsid w:val="00B56BB2"/>
    <w:rsid w:val="00B56FBE"/>
    <w:rsid w:val="00B60ACF"/>
    <w:rsid w:val="00B62B58"/>
    <w:rsid w:val="00B65149"/>
    <w:rsid w:val="00B66567"/>
    <w:rsid w:val="00B66F52"/>
    <w:rsid w:val="00B66FE5"/>
    <w:rsid w:val="00B71B46"/>
    <w:rsid w:val="00B72880"/>
    <w:rsid w:val="00B758BF"/>
    <w:rsid w:val="00B77EC8"/>
    <w:rsid w:val="00B827A6"/>
    <w:rsid w:val="00B831CE"/>
    <w:rsid w:val="00B850E5"/>
    <w:rsid w:val="00B856DB"/>
    <w:rsid w:val="00B86677"/>
    <w:rsid w:val="00B87131"/>
    <w:rsid w:val="00B939B1"/>
    <w:rsid w:val="00B96D40"/>
    <w:rsid w:val="00B97386"/>
    <w:rsid w:val="00BA263B"/>
    <w:rsid w:val="00BA42B2"/>
    <w:rsid w:val="00BA58D4"/>
    <w:rsid w:val="00BA5B9E"/>
    <w:rsid w:val="00BA7C9A"/>
    <w:rsid w:val="00BB5F8F"/>
    <w:rsid w:val="00BB657A"/>
    <w:rsid w:val="00BC1A4E"/>
    <w:rsid w:val="00BC25E5"/>
    <w:rsid w:val="00BC28FC"/>
    <w:rsid w:val="00BC5DC7"/>
    <w:rsid w:val="00BC6B8B"/>
    <w:rsid w:val="00BC73D8"/>
    <w:rsid w:val="00BD16EF"/>
    <w:rsid w:val="00BD3E57"/>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6095"/>
    <w:rsid w:val="00C103E5"/>
    <w:rsid w:val="00C13319"/>
    <w:rsid w:val="00C13EE9"/>
    <w:rsid w:val="00C21540"/>
    <w:rsid w:val="00C21906"/>
    <w:rsid w:val="00C21BFA"/>
    <w:rsid w:val="00C24C23"/>
    <w:rsid w:val="00C24C8D"/>
    <w:rsid w:val="00C25FE2"/>
    <w:rsid w:val="00C26B53"/>
    <w:rsid w:val="00C279B2"/>
    <w:rsid w:val="00C33E50"/>
    <w:rsid w:val="00C34C20"/>
    <w:rsid w:val="00C35A3E"/>
    <w:rsid w:val="00C42130"/>
    <w:rsid w:val="00C423A4"/>
    <w:rsid w:val="00C423E3"/>
    <w:rsid w:val="00C43311"/>
    <w:rsid w:val="00C44BF5"/>
    <w:rsid w:val="00C51465"/>
    <w:rsid w:val="00C521D6"/>
    <w:rsid w:val="00C53B7F"/>
    <w:rsid w:val="00C55232"/>
    <w:rsid w:val="00C553A4"/>
    <w:rsid w:val="00C55A06"/>
    <w:rsid w:val="00C55D03"/>
    <w:rsid w:val="00C601BC"/>
    <w:rsid w:val="00C62087"/>
    <w:rsid w:val="00C6329F"/>
    <w:rsid w:val="00C63340"/>
    <w:rsid w:val="00C643F9"/>
    <w:rsid w:val="00C64E95"/>
    <w:rsid w:val="00C71372"/>
    <w:rsid w:val="00C72410"/>
    <w:rsid w:val="00C7287F"/>
    <w:rsid w:val="00C80CB8"/>
    <w:rsid w:val="00C819F8"/>
    <w:rsid w:val="00C8248C"/>
    <w:rsid w:val="00C84C02"/>
    <w:rsid w:val="00C84E33"/>
    <w:rsid w:val="00C86D6F"/>
    <w:rsid w:val="00C905FC"/>
    <w:rsid w:val="00C9122A"/>
    <w:rsid w:val="00C91454"/>
    <w:rsid w:val="00C92D03"/>
    <w:rsid w:val="00C9319C"/>
    <w:rsid w:val="00C9435D"/>
    <w:rsid w:val="00C94DF2"/>
    <w:rsid w:val="00C951B1"/>
    <w:rsid w:val="00C95993"/>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3CF"/>
    <w:rsid w:val="00CC39FF"/>
    <w:rsid w:val="00CC3C2F"/>
    <w:rsid w:val="00CC4AC8"/>
    <w:rsid w:val="00CC5233"/>
    <w:rsid w:val="00CC5DE6"/>
    <w:rsid w:val="00CC6E4E"/>
    <w:rsid w:val="00CC6FE8"/>
    <w:rsid w:val="00CC7202"/>
    <w:rsid w:val="00CD028F"/>
    <w:rsid w:val="00CD2808"/>
    <w:rsid w:val="00CD28BF"/>
    <w:rsid w:val="00CD4092"/>
    <w:rsid w:val="00CD4A20"/>
    <w:rsid w:val="00CD50A1"/>
    <w:rsid w:val="00CD519E"/>
    <w:rsid w:val="00CE0C4F"/>
    <w:rsid w:val="00CE30EA"/>
    <w:rsid w:val="00CE6DC1"/>
    <w:rsid w:val="00CF048A"/>
    <w:rsid w:val="00CF155A"/>
    <w:rsid w:val="00CF2947"/>
    <w:rsid w:val="00CF686F"/>
    <w:rsid w:val="00CF6E60"/>
    <w:rsid w:val="00CF7BCA"/>
    <w:rsid w:val="00D008FD"/>
    <w:rsid w:val="00D02F68"/>
    <w:rsid w:val="00D0321C"/>
    <w:rsid w:val="00D035EC"/>
    <w:rsid w:val="00D0489E"/>
    <w:rsid w:val="00D06AB1"/>
    <w:rsid w:val="00D06FC1"/>
    <w:rsid w:val="00D072ED"/>
    <w:rsid w:val="00D07A16"/>
    <w:rsid w:val="00D1067E"/>
    <w:rsid w:val="00D10F50"/>
    <w:rsid w:val="00D11272"/>
    <w:rsid w:val="00D126F5"/>
    <w:rsid w:val="00D1489E"/>
    <w:rsid w:val="00D20737"/>
    <w:rsid w:val="00D21E81"/>
    <w:rsid w:val="00D223DE"/>
    <w:rsid w:val="00D22471"/>
    <w:rsid w:val="00D25E37"/>
    <w:rsid w:val="00D2661A"/>
    <w:rsid w:val="00D27582"/>
    <w:rsid w:val="00D27EC4"/>
    <w:rsid w:val="00D307DD"/>
    <w:rsid w:val="00D32719"/>
    <w:rsid w:val="00D33333"/>
    <w:rsid w:val="00D352A2"/>
    <w:rsid w:val="00D35868"/>
    <w:rsid w:val="00D4162B"/>
    <w:rsid w:val="00D4514F"/>
    <w:rsid w:val="00D451E2"/>
    <w:rsid w:val="00D45E89"/>
    <w:rsid w:val="00D45E8D"/>
    <w:rsid w:val="00D466AE"/>
    <w:rsid w:val="00D4734F"/>
    <w:rsid w:val="00D51BF3"/>
    <w:rsid w:val="00D557C7"/>
    <w:rsid w:val="00D55B08"/>
    <w:rsid w:val="00D66846"/>
    <w:rsid w:val="00D675FB"/>
    <w:rsid w:val="00D71F0D"/>
    <w:rsid w:val="00D71F25"/>
    <w:rsid w:val="00D72A9C"/>
    <w:rsid w:val="00D76B17"/>
    <w:rsid w:val="00D77031"/>
    <w:rsid w:val="00D84941"/>
    <w:rsid w:val="00D84FA1"/>
    <w:rsid w:val="00D851F0"/>
    <w:rsid w:val="00D86DB7"/>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1BE6"/>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2B78"/>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2357"/>
    <w:rsid w:val="00E2552F"/>
    <w:rsid w:val="00E25AB8"/>
    <w:rsid w:val="00E3137A"/>
    <w:rsid w:val="00E3292E"/>
    <w:rsid w:val="00E32CCF"/>
    <w:rsid w:val="00E34A98"/>
    <w:rsid w:val="00E34B99"/>
    <w:rsid w:val="00E35D1E"/>
    <w:rsid w:val="00E364F9"/>
    <w:rsid w:val="00E365FA"/>
    <w:rsid w:val="00E36789"/>
    <w:rsid w:val="00E3686F"/>
    <w:rsid w:val="00E43D1F"/>
    <w:rsid w:val="00E43F16"/>
    <w:rsid w:val="00E449C8"/>
    <w:rsid w:val="00E44A83"/>
    <w:rsid w:val="00E47F38"/>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613C"/>
    <w:rsid w:val="00E77A03"/>
    <w:rsid w:val="00E822E8"/>
    <w:rsid w:val="00E82554"/>
    <w:rsid w:val="00E82606"/>
    <w:rsid w:val="00E831C1"/>
    <w:rsid w:val="00E846C8"/>
    <w:rsid w:val="00E84957"/>
    <w:rsid w:val="00E84A55"/>
    <w:rsid w:val="00E85BFF"/>
    <w:rsid w:val="00E90391"/>
    <w:rsid w:val="00E906C2"/>
    <w:rsid w:val="00E9311F"/>
    <w:rsid w:val="00E934D1"/>
    <w:rsid w:val="00E94530"/>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C70C0"/>
    <w:rsid w:val="00ED067A"/>
    <w:rsid w:val="00ED2B50"/>
    <w:rsid w:val="00EE0350"/>
    <w:rsid w:val="00EE0719"/>
    <w:rsid w:val="00EE0E80"/>
    <w:rsid w:val="00EE613F"/>
    <w:rsid w:val="00EE7295"/>
    <w:rsid w:val="00EE7869"/>
    <w:rsid w:val="00EF054A"/>
    <w:rsid w:val="00EF3235"/>
    <w:rsid w:val="00EF45AF"/>
    <w:rsid w:val="00EF7E72"/>
    <w:rsid w:val="00F0020A"/>
    <w:rsid w:val="00F032CE"/>
    <w:rsid w:val="00F066CE"/>
    <w:rsid w:val="00F06D37"/>
    <w:rsid w:val="00F073AA"/>
    <w:rsid w:val="00F07B9D"/>
    <w:rsid w:val="00F11586"/>
    <w:rsid w:val="00F1183B"/>
    <w:rsid w:val="00F11C9F"/>
    <w:rsid w:val="00F12263"/>
    <w:rsid w:val="00F1409D"/>
    <w:rsid w:val="00F14214"/>
    <w:rsid w:val="00F157A9"/>
    <w:rsid w:val="00F16F00"/>
    <w:rsid w:val="00F21F95"/>
    <w:rsid w:val="00F25BB6"/>
    <w:rsid w:val="00F26B7E"/>
    <w:rsid w:val="00F27A3B"/>
    <w:rsid w:val="00F32E4A"/>
    <w:rsid w:val="00F33817"/>
    <w:rsid w:val="00F36440"/>
    <w:rsid w:val="00F420D5"/>
    <w:rsid w:val="00F451EA"/>
    <w:rsid w:val="00F45447"/>
    <w:rsid w:val="00F456C6"/>
    <w:rsid w:val="00F4577B"/>
    <w:rsid w:val="00F45EC2"/>
    <w:rsid w:val="00F46496"/>
    <w:rsid w:val="00F474D0"/>
    <w:rsid w:val="00F50179"/>
    <w:rsid w:val="00F515EE"/>
    <w:rsid w:val="00F51AF8"/>
    <w:rsid w:val="00F5607E"/>
    <w:rsid w:val="00F56511"/>
    <w:rsid w:val="00F6194E"/>
    <w:rsid w:val="00F623AC"/>
    <w:rsid w:val="00F6412A"/>
    <w:rsid w:val="00F65893"/>
    <w:rsid w:val="00F66A4A"/>
    <w:rsid w:val="00F716C1"/>
    <w:rsid w:val="00F71E22"/>
    <w:rsid w:val="00F72142"/>
    <w:rsid w:val="00F72AE7"/>
    <w:rsid w:val="00F81BCD"/>
    <w:rsid w:val="00F833BA"/>
    <w:rsid w:val="00F8351B"/>
    <w:rsid w:val="00F83D3E"/>
    <w:rsid w:val="00F84FD0"/>
    <w:rsid w:val="00F859A8"/>
    <w:rsid w:val="00F86D87"/>
    <w:rsid w:val="00F9108B"/>
    <w:rsid w:val="00F91349"/>
    <w:rsid w:val="00F93A8A"/>
    <w:rsid w:val="00F95248"/>
    <w:rsid w:val="00F956A9"/>
    <w:rsid w:val="00F963ED"/>
    <w:rsid w:val="00F966CF"/>
    <w:rsid w:val="00F96CAE"/>
    <w:rsid w:val="00F97C99"/>
    <w:rsid w:val="00FA1209"/>
    <w:rsid w:val="00FA3971"/>
    <w:rsid w:val="00FA662D"/>
    <w:rsid w:val="00FA73B1"/>
    <w:rsid w:val="00FB0CB9"/>
    <w:rsid w:val="00FB231D"/>
    <w:rsid w:val="00FB45F1"/>
    <w:rsid w:val="00FB4A72"/>
    <w:rsid w:val="00FB54E8"/>
    <w:rsid w:val="00FB7054"/>
    <w:rsid w:val="00FB7524"/>
    <w:rsid w:val="00FC17B7"/>
    <w:rsid w:val="00FC2CB7"/>
    <w:rsid w:val="00FC4090"/>
    <w:rsid w:val="00FC55B4"/>
    <w:rsid w:val="00FD00E6"/>
    <w:rsid w:val="00FD09A1"/>
    <w:rsid w:val="00FD2A7C"/>
    <w:rsid w:val="00FD59EB"/>
    <w:rsid w:val="00FD7299"/>
    <w:rsid w:val="00FE1FBE"/>
    <w:rsid w:val="00FE2B96"/>
    <w:rsid w:val="00FE3901"/>
    <w:rsid w:val="00FE39D3"/>
    <w:rsid w:val="00FE4BCE"/>
    <w:rsid w:val="00FE54AE"/>
    <w:rsid w:val="00FE576A"/>
    <w:rsid w:val="00FE7E79"/>
    <w:rsid w:val="00FF3E7D"/>
    <w:rsid w:val="00FF5B99"/>
    <w:rsid w:val="00FF730C"/>
    <w:rsid w:val="00FF73F4"/>
    <w:rsid w:val="00FF7CE4"/>
    <w:rsid w:val="00FF7E39"/>
    <w:rsid w:val="723DB072"/>
    <w:rsid w:val="FFC73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8"/>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7"/>
    <w:semiHidden/>
    <w:unhideWhenUsed/>
    <w:qFormat/>
    <w:uiPriority w:val="99"/>
    <w:rPr>
      <w:sz w:val="18"/>
      <w:szCs w:val="18"/>
    </w:rPr>
  </w:style>
  <w:style w:type="paragraph" w:styleId="17">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5"/>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unhideWhenUsed/>
    <w:qFormat/>
    <w:uiPriority w:val="99"/>
    <w:pPr>
      <w:spacing w:line="240" w:lineRule="auto"/>
    </w:pPr>
    <w:rPr>
      <w:rFonts w:ascii="Times New Roman" w:hAnsi="Times New Roman"/>
      <w:kern w:val="0"/>
      <w:sz w:val="24"/>
      <w:szCs w:val="20"/>
    </w:rPr>
  </w:style>
  <w:style w:type="paragraph" w:styleId="26">
    <w:name w:val="Title"/>
    <w:basedOn w:val="1"/>
    <w:link w:val="50"/>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FollowedHyperlink"/>
    <w:basedOn w:val="29"/>
    <w:semiHidden/>
    <w:unhideWhenUsed/>
    <w:qFormat/>
    <w:uiPriority w:val="99"/>
    <w:rPr>
      <w:color w:val="954F72" w:themeColor="followedHyperlink"/>
      <w:u w:val="single"/>
      <w14:textFill>
        <w14:solidFill>
          <w14:schemeClr w14:val="folHlink"/>
        </w14:solidFill>
      </w14:textFill>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字符"/>
    <w:link w:val="2"/>
    <w:qFormat/>
    <w:uiPriority w:val="0"/>
    <w:rPr>
      <w:rFonts w:ascii="Times New Roman" w:hAnsi="Times New Roman" w:eastAsia="宋体" w:cs="Times New Roman"/>
      <w:b/>
      <w:bCs/>
      <w:kern w:val="44"/>
      <w:sz w:val="44"/>
      <w:szCs w:val="44"/>
    </w:rPr>
  </w:style>
  <w:style w:type="character" w:customStyle="1" w:styleId="37">
    <w:name w:val="标题 2 字符"/>
    <w:link w:val="3"/>
    <w:qFormat/>
    <w:uiPriority w:val="0"/>
    <w:rPr>
      <w:rFonts w:ascii="Arial" w:hAnsi="Arial" w:eastAsia="黑体" w:cs="Times New Roman"/>
      <w:b/>
      <w:bCs/>
      <w:sz w:val="32"/>
      <w:szCs w:val="32"/>
    </w:rPr>
  </w:style>
  <w:style w:type="character" w:customStyle="1" w:styleId="38">
    <w:name w:val="标题 3 字符"/>
    <w:link w:val="4"/>
    <w:qFormat/>
    <w:uiPriority w:val="0"/>
    <w:rPr>
      <w:rFonts w:ascii="Times New Roman" w:hAnsi="Times New Roman" w:eastAsia="宋体" w:cs="Times New Roman"/>
      <w:b/>
      <w:bCs/>
      <w:sz w:val="32"/>
      <w:szCs w:val="32"/>
    </w:rPr>
  </w:style>
  <w:style w:type="character" w:customStyle="1" w:styleId="39">
    <w:name w:val="标题 4 字符"/>
    <w:link w:val="5"/>
    <w:qFormat/>
    <w:uiPriority w:val="0"/>
    <w:rPr>
      <w:rFonts w:ascii="Arial" w:hAnsi="Arial" w:eastAsia="黑体" w:cs="Times New Roman"/>
      <w:b/>
      <w:bCs/>
      <w:sz w:val="28"/>
      <w:szCs w:val="28"/>
    </w:rPr>
  </w:style>
  <w:style w:type="character" w:customStyle="1" w:styleId="40">
    <w:name w:val="标题 5 字符"/>
    <w:link w:val="6"/>
    <w:qFormat/>
    <w:uiPriority w:val="0"/>
    <w:rPr>
      <w:rFonts w:ascii="Times New Roman" w:hAnsi="Times New Roman" w:eastAsia="宋体" w:cs="Times New Roman"/>
      <w:b/>
      <w:bCs/>
      <w:sz w:val="28"/>
      <w:szCs w:val="28"/>
    </w:rPr>
  </w:style>
  <w:style w:type="character" w:customStyle="1" w:styleId="41">
    <w:name w:val="标题 6 字符"/>
    <w:link w:val="7"/>
    <w:qFormat/>
    <w:uiPriority w:val="0"/>
    <w:rPr>
      <w:rFonts w:ascii="Arial" w:hAnsi="Arial" w:eastAsia="黑体" w:cs="Times New Roman"/>
      <w:b/>
      <w:bCs/>
      <w:sz w:val="24"/>
      <w:szCs w:val="24"/>
    </w:rPr>
  </w:style>
  <w:style w:type="character" w:customStyle="1" w:styleId="42">
    <w:name w:val="标题 7 字符"/>
    <w:link w:val="8"/>
    <w:qFormat/>
    <w:uiPriority w:val="0"/>
    <w:rPr>
      <w:rFonts w:ascii="Times New Roman" w:hAnsi="Times New Roman" w:eastAsia="宋体" w:cs="Times New Roman"/>
      <w:b/>
      <w:bCs/>
      <w:sz w:val="24"/>
      <w:szCs w:val="24"/>
    </w:rPr>
  </w:style>
  <w:style w:type="character" w:customStyle="1" w:styleId="43">
    <w:name w:val="标题 8 字符"/>
    <w:link w:val="9"/>
    <w:qFormat/>
    <w:uiPriority w:val="0"/>
    <w:rPr>
      <w:rFonts w:ascii="Arial" w:hAnsi="Arial" w:eastAsia="黑体" w:cs="Times New Roman"/>
      <w:sz w:val="24"/>
      <w:szCs w:val="24"/>
    </w:rPr>
  </w:style>
  <w:style w:type="character" w:customStyle="1" w:styleId="44">
    <w:name w:val="标题 9 字符"/>
    <w:link w:val="10"/>
    <w:qFormat/>
    <w:uiPriority w:val="0"/>
    <w:rPr>
      <w:rFonts w:ascii="Arial" w:hAnsi="Arial" w:eastAsia="黑体" w:cs="Times New Roman"/>
      <w:szCs w:val="21"/>
    </w:rPr>
  </w:style>
  <w:style w:type="character" w:customStyle="1" w:styleId="45">
    <w:name w:val="页眉 字符"/>
    <w:link w:val="18"/>
    <w:qFormat/>
    <w:uiPriority w:val="99"/>
    <w:rPr>
      <w:rFonts w:ascii="Times New Roman" w:hAnsi="Times New Roman" w:eastAsia="宋体" w:cs="Times New Roman"/>
      <w:sz w:val="18"/>
      <w:szCs w:val="18"/>
    </w:rPr>
  </w:style>
  <w:style w:type="character" w:customStyle="1" w:styleId="46">
    <w:name w:val="页脚 字符"/>
    <w:link w:val="17"/>
    <w:qFormat/>
    <w:uiPriority w:val="99"/>
    <w:rPr>
      <w:rFonts w:ascii="宋体" w:hAnsi="Times New Roman" w:eastAsia="宋体" w:cs="Times New Roman"/>
      <w:sz w:val="18"/>
      <w:szCs w:val="18"/>
    </w:rPr>
  </w:style>
  <w:style w:type="character" w:customStyle="1" w:styleId="47">
    <w:name w:val="批注框文本 字符"/>
    <w:link w:val="16"/>
    <w:semiHidden/>
    <w:qFormat/>
    <w:uiPriority w:val="99"/>
    <w:rPr>
      <w:sz w:val="18"/>
      <w:szCs w:val="18"/>
    </w:rPr>
  </w:style>
  <w:style w:type="paragraph" w:styleId="48">
    <w:name w:val="Quote"/>
    <w:basedOn w:val="1"/>
    <w:next w:val="1"/>
    <w:link w:val="49"/>
    <w:qFormat/>
    <w:uiPriority w:val="29"/>
    <w:rPr>
      <w:i/>
      <w:iCs/>
      <w:color w:val="000000"/>
    </w:rPr>
  </w:style>
  <w:style w:type="character" w:customStyle="1" w:styleId="49">
    <w:name w:val="引用 字符"/>
    <w:link w:val="48"/>
    <w:qFormat/>
    <w:uiPriority w:val="29"/>
    <w:rPr>
      <w:i/>
      <w:iCs/>
      <w:color w:val="000000"/>
    </w:rPr>
  </w:style>
  <w:style w:type="character" w:customStyle="1" w:styleId="50">
    <w:name w:val="标题 字符"/>
    <w:link w:val="26"/>
    <w:qFormat/>
    <w:uiPriority w:val="0"/>
    <w:rPr>
      <w:rFonts w:ascii="Arial" w:hAnsi="Arial" w:eastAsia="宋体" w:cs="Arial"/>
      <w:b/>
      <w:bCs/>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3"/>
    <w:qFormat/>
    <w:uiPriority w:val="0"/>
    <w:rPr>
      <w:rFonts w:ascii="Times New Roman" w:hAnsi="Times New Roman" w:eastAsia="宋体" w:cs="Times New Roman"/>
      <w:szCs w:val="20"/>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pPr>
  </w:style>
  <w:style w:type="paragraph" w:customStyle="1" w:styleId="93">
    <w:name w:val="标准文件_目录标题"/>
    <w:basedOn w:val="1"/>
    <w:qFormat/>
    <w:uiPriority w:val="0"/>
    <w:pPr>
      <w:spacing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ind w:left="0" w:firstLine="200"/>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Subtle Reference"/>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1"/>
    <w:semiHidden/>
    <w:qFormat/>
    <w:uiPriority w:val="0"/>
    <w:rPr>
      <w:rFonts w:ascii="宋体" w:hAnsi="Times New Roman" w:eastAsia="宋体" w:cs="Times New Roman"/>
      <w:sz w:val="18"/>
      <w:szCs w:val="18"/>
    </w:rPr>
  </w:style>
  <w:style w:type="paragraph" w:customStyle="1" w:styleId="102">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50" w:beforeLines="50" w:after="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0"/>
    <w:pPr>
      <w:adjustRightInd/>
      <w:spacing w:line="240" w:lineRule="auto"/>
      <w:jc w:val="left"/>
    </w:pPr>
    <w:rPr>
      <w:bCs/>
      <w:iCs/>
    </w:rPr>
  </w:style>
  <w:style w:type="paragraph" w:customStyle="1" w:styleId="145">
    <w:name w:val="目录 31"/>
    <w:basedOn w:val="1"/>
    <w:next w:val="1"/>
    <w:semiHidden/>
    <w:qFormat/>
    <w:uiPriority w:val="0"/>
    <w:pPr>
      <w:spacing w:line="240" w:lineRule="auto"/>
    </w:pPr>
    <w:rPr>
      <w:rFonts w:ascii="宋体" w:hAnsi="宋体"/>
      <w:iCs/>
    </w:rPr>
  </w:style>
  <w:style w:type="paragraph" w:customStyle="1" w:styleId="146">
    <w:name w:val="目录 41"/>
    <w:basedOn w:val="1"/>
    <w:next w:val="1"/>
    <w:semiHidden/>
    <w:qFormat/>
    <w:uiPriority w:val="0"/>
    <w:pPr>
      <w:adjustRightInd/>
      <w:spacing w:line="240" w:lineRule="auto"/>
      <w:jc w:val="left"/>
    </w:pPr>
  </w:style>
  <w:style w:type="paragraph" w:customStyle="1" w:styleId="147">
    <w:name w:val="目录 51"/>
    <w:basedOn w:val="1"/>
    <w:next w:val="1"/>
    <w:semiHidden/>
    <w:qFormat/>
    <w:uiPriority w:val="0"/>
    <w:pPr>
      <w:spacing w:line="240" w:lineRule="auto"/>
    </w:pPr>
    <w:rPr>
      <w:rFonts w:ascii="宋体" w:hAnsi="宋体"/>
    </w:rPr>
  </w:style>
  <w:style w:type="paragraph" w:customStyle="1" w:styleId="148">
    <w:name w:val="目录 61"/>
    <w:basedOn w:val="1"/>
    <w:next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67"/>
    <w:qFormat/>
    <w:uiPriority w:val="0"/>
    <w:pPr>
      <w:spacing w:before="0" w:beforeLines="0" w:after="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ind w:left="783"/>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29"/>
    <w:semiHidden/>
    <w:qFormat/>
    <w:uiPriority w:val="99"/>
    <w:rPr>
      <w:color w:val="808080"/>
    </w:rPr>
  </w:style>
  <w:style w:type="paragraph" w:customStyle="1" w:styleId="189">
    <w:name w:val="标准文件_二级项2"/>
    <w:basedOn w:val="58"/>
    <w:qFormat/>
    <w:uiPriority w:val="0"/>
    <w:pPr>
      <w:numPr>
        <w:ilvl w:val="1"/>
        <w:numId w:val="21"/>
      </w:numPr>
      <w:ind w:left="1271" w:hanging="420" w:firstLineChars="0"/>
    </w:pPr>
  </w:style>
  <w:style w:type="paragraph" w:customStyle="1" w:styleId="190">
    <w:name w:val="标准文件_三级项2"/>
    <w:basedOn w:val="58"/>
    <w:qFormat/>
    <w:uiPriority w:val="0"/>
    <w:pPr>
      <w:numPr>
        <w:ilvl w:val="0"/>
        <w:numId w:val="30"/>
      </w:numPr>
      <w:spacing w:line="300" w:lineRule="exact"/>
      <w:ind w:left="1276" w:hanging="425" w:firstLineChars="0"/>
    </w:pPr>
    <w:rPr>
      <w:rFonts w:ascii="Times New Roman"/>
    </w:rPr>
  </w:style>
  <w:style w:type="paragraph" w:customStyle="1" w:styleId="191">
    <w:name w:val="标准文件_一级项2"/>
    <w:basedOn w:val="58"/>
    <w:qFormat/>
    <w:uiPriority w:val="0"/>
    <w:pPr>
      <w:numPr>
        <w:ilvl w:val="0"/>
        <w:numId w:val="31"/>
      </w:numPr>
      <w:spacing w:line="300" w:lineRule="exact"/>
      <w:ind w:left="1271" w:hanging="420"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29"/>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vAnchor="page" w:hAnchor="page" w:x="1419" w:y="14097"/>
    </w:pPr>
  </w:style>
  <w:style w:type="paragraph" w:customStyle="1" w:styleId="196">
    <w:name w:val="其他实施日期"/>
    <w:basedOn w:val="156"/>
    <w:qFormat/>
    <w:uiPriority w:val="0"/>
    <w:pPr>
      <w:framePr w:w="3997" w:h="471" w:hRule="exact" w:vSpace="181"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frame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qFormat/>
    <w:uiPriority w:val="0"/>
    <w:pPr>
      <w:spacing w:before="0" w:beforeLines="0" w:after="0" w:afterLines="0" w:line="276" w:lineRule="auto"/>
    </w:pPr>
    <w:rPr>
      <w:rFonts w:ascii="宋体" w:eastAsia="宋体"/>
    </w:rPr>
  </w:style>
  <w:style w:type="paragraph" w:customStyle="1" w:styleId="220">
    <w:name w:val="标准文件_引言三级无标题"/>
    <w:basedOn w:val="204"/>
    <w:next w:val="58"/>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29"/>
    <w:qFormat/>
    <w:uiPriority w:val="0"/>
    <w:rPr>
      <w:rFonts w:ascii="黑体" w:eastAsia="黑体"/>
      <w:spacing w:val="85"/>
      <w:w w:val="100"/>
      <w:position w:val="3"/>
      <w:sz w:val="28"/>
      <w:szCs w:val="28"/>
    </w:rPr>
  </w:style>
  <w:style w:type="paragraph" w:styleId="232">
    <w:name w:val="List Paragraph"/>
    <w:basedOn w:val="1"/>
    <w:qFormat/>
    <w:uiPriority w:val="34"/>
    <w:pPr>
      <w:ind w:firstLine="420" w:firstLineChars="200"/>
    </w:pPr>
  </w:style>
  <w:style w:type="table" w:customStyle="1" w:styleId="233">
    <w:name w:val="网格型1"/>
    <w:basedOn w:val="27"/>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
    <w:name w:val="网格型2"/>
    <w:basedOn w:val="27"/>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5">
    <w:name w:val="不明显参考1"/>
    <w:qFormat/>
    <w:uiPriority w:val="31"/>
    <w:rPr>
      <w:smallCaps/>
      <w:color w:val="C0504D"/>
      <w:u w:val="single"/>
    </w:rPr>
  </w:style>
  <w:style w:type="paragraph" w:customStyle="1" w:styleId="236">
    <w:name w:val="Table Text"/>
    <w:basedOn w:val="1"/>
    <w:semiHidden/>
    <w:qFormat/>
    <w:uiPriority w:val="0"/>
    <w:rPr>
      <w:rFonts w:ascii="宋体" w:hAnsi="宋体" w:cs="宋体"/>
      <w:sz w:val="18"/>
      <w:szCs w:val="18"/>
      <w:lang w:eastAsia="en-US"/>
    </w:rPr>
  </w:style>
  <w:style w:type="table" w:customStyle="1" w:styleId="237">
    <w:name w:val="Table Normal"/>
    <w:semiHidden/>
    <w:unhideWhenUsed/>
    <w:qFormat/>
    <w:uiPriority w:val="0"/>
    <w:tblPr>
      <w:tblCellMar>
        <w:top w:w="0" w:type="dxa"/>
        <w:left w:w="0" w:type="dxa"/>
        <w:bottom w:w="0" w:type="dxa"/>
        <w:right w:w="0" w:type="dxa"/>
      </w:tblCellMar>
    </w:tblPr>
  </w:style>
  <w:style w:type="paragraph" w:customStyle="1" w:styleId="23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5.jpe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lenovo/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1ABD9AE4D38411EA159452D34826AF2"/>
        <w:style w:val=""/>
        <w:category>
          <w:name w:val="常规"/>
          <w:gallery w:val="placeholder"/>
        </w:category>
        <w:types>
          <w:type w:val="bbPlcHdr"/>
        </w:types>
        <w:behaviors>
          <w:behavior w:val="content"/>
        </w:behaviors>
        <w:description w:val=""/>
        <w:guid w:val="{EC2EA6AD-A8A1-4A67-A13B-FB8DA4969755}"/>
      </w:docPartPr>
      <w:docPartBody>
        <w:p>
          <w:pPr>
            <w:pStyle w:val="5"/>
          </w:pPr>
          <w:r>
            <w:rPr>
              <w:rStyle w:val="4"/>
              <w:rFonts w:hint="eastAsia"/>
            </w:rPr>
            <w:t>单击或点击此处输入文字。</w:t>
          </w:r>
        </w:p>
      </w:docPartBody>
    </w:docPart>
    <w:docPart>
      <w:docPartPr>
        <w:name w:val="9735EE6664834542B12B35FE39E510B1"/>
        <w:style w:val=""/>
        <w:category>
          <w:name w:val="常规"/>
          <w:gallery w:val="placeholder"/>
        </w:category>
        <w:types>
          <w:type w:val="bbPlcHdr"/>
        </w:types>
        <w:behaviors>
          <w:behavior w:val="content"/>
        </w:behaviors>
        <w:description w:val=""/>
        <w:guid w:val="{9B886ACA-6C5F-4A94-98F5-197269CBE79E}"/>
      </w:docPartPr>
      <w:docPartBody>
        <w:p>
          <w:pPr>
            <w:pStyle w:val="6"/>
          </w:pPr>
          <w:r>
            <w:rPr>
              <w:rStyle w:val="4"/>
              <w:rFonts w:hint="eastAsia"/>
            </w:rPr>
            <w:t>选择一项。</w:t>
          </w:r>
        </w:p>
      </w:docPartBody>
    </w:docPart>
    <w:docPart>
      <w:docPartPr>
        <w:name w:val="2B5F760AABE34AADBD5B05DBB4B89A6A"/>
        <w:style w:val=""/>
        <w:category>
          <w:name w:val="常规"/>
          <w:gallery w:val="placeholder"/>
        </w:category>
        <w:types>
          <w:type w:val="bbPlcHdr"/>
        </w:types>
        <w:behaviors>
          <w:behavior w:val="content"/>
        </w:behaviors>
        <w:description w:val=""/>
        <w:guid w:val="{54F30CA0-D487-4858-961F-979EBBE154E7}"/>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URW Bookman">
    <w:panose1 w:val="00000400000000000000"/>
    <w:charset w:val="00"/>
    <w:family w:val="auto"/>
    <w:pitch w:val="default"/>
    <w:sig w:usb0="00000287" w:usb1="00000800" w:usb2="00000000" w:usb3="00000000" w:csb0="6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5BB"/>
    <w:rsid w:val="000E0A47"/>
    <w:rsid w:val="001012F8"/>
    <w:rsid w:val="001E74E8"/>
    <w:rsid w:val="00411C79"/>
    <w:rsid w:val="004C1F15"/>
    <w:rsid w:val="005B1E36"/>
    <w:rsid w:val="00663E73"/>
    <w:rsid w:val="007F46EE"/>
    <w:rsid w:val="00827812"/>
    <w:rsid w:val="00880179"/>
    <w:rsid w:val="00884016"/>
    <w:rsid w:val="008D2B92"/>
    <w:rsid w:val="008E334B"/>
    <w:rsid w:val="00A142A2"/>
    <w:rsid w:val="00AE77A6"/>
    <w:rsid w:val="00BA4653"/>
    <w:rsid w:val="00C52E29"/>
    <w:rsid w:val="00D725EB"/>
    <w:rsid w:val="00D84F4F"/>
    <w:rsid w:val="00DF6E38"/>
    <w:rsid w:val="00EB09D0"/>
    <w:rsid w:val="00ED2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1ABD9AE4D38411EA159452D34826AF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735EE6664834542B12B35FE39E510B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B5F760AABE34AADBD5B05DBB4B89A6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24</Pages>
  <Words>2504</Words>
  <Characters>14276</Characters>
  <Lines>118</Lines>
  <Paragraphs>33</Paragraphs>
  <TotalTime>2</TotalTime>
  <ScaleCrop>false</ScaleCrop>
  <LinksUpToDate>false</LinksUpToDate>
  <CharactersWithSpaces>16747</CharactersWithSpaces>
  <Application>WPS Office_11.8.2.10533_F1E327BC-269C-435d-A152-05C5408002CA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2025-06-26T09:11:00Z</dcterms:created>
  <dc:creator>Administrator</dc:creator>
  <cp:lastModifiedBy>lenovo</cp:lastModifiedBy>
  <cp:lastPrinted>2021-02-02T16:22:00Z</cp:lastPrinted>
  <dcterms:modified xsi:type="dcterms:W3CDTF">2025-09-18T10:50:54Z</dcterms:modified>
  <dc:title>团体标准</dc:title>
  <cp:revision>285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2052-11.8.2.10533</vt:lpwstr>
  </property>
</Properties>
</file>