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FF19F">
      <w:pPr>
        <w:ind w:firstLine="640"/>
        <w:rPr>
          <w:rFonts w:hint="eastAsia"/>
        </w:rPr>
      </w:pPr>
    </w:p>
    <w:p w14:paraId="4A856846">
      <w:pPr>
        <w:spacing w:line="360" w:lineRule="auto"/>
        <w:ind w:firstLine="0" w:firstLineChars="0"/>
        <w:jc w:val="center"/>
        <w:rPr>
          <w:rFonts w:ascii="方正小标宋简体" w:hAnsi="华文中宋" w:eastAsia="方正小标宋简体"/>
          <w:sz w:val="52"/>
          <w:szCs w:val="52"/>
        </w:rPr>
      </w:pPr>
    </w:p>
    <w:p w14:paraId="1438E002">
      <w:pPr>
        <w:spacing w:line="360" w:lineRule="auto"/>
        <w:ind w:firstLine="0" w:firstLineChars="0"/>
        <w:jc w:val="center"/>
        <w:rPr>
          <w:rFonts w:ascii="方正小标宋简体" w:hAnsi="华文中宋" w:eastAsia="方正小标宋简体"/>
          <w:sz w:val="52"/>
          <w:szCs w:val="52"/>
        </w:rPr>
      </w:pPr>
    </w:p>
    <w:p w14:paraId="232B9CAF">
      <w:pPr>
        <w:spacing w:line="360" w:lineRule="auto"/>
        <w:ind w:firstLine="0" w:firstLineChars="0"/>
        <w:jc w:val="center"/>
        <w:rPr>
          <w:rFonts w:ascii="方正小标宋简体" w:hAnsi="华文中宋" w:eastAsia="方正小标宋简体"/>
          <w:sz w:val="48"/>
          <w:szCs w:val="52"/>
        </w:rPr>
      </w:pPr>
      <w:r>
        <w:rPr>
          <w:rFonts w:hint="eastAsia" w:ascii="方正小标宋简体" w:hAnsi="华文中宋" w:eastAsia="方正小标宋简体"/>
          <w:sz w:val="48"/>
          <w:szCs w:val="52"/>
        </w:rPr>
        <w:t>内蒙古自治区团体标准</w:t>
      </w:r>
    </w:p>
    <w:p w14:paraId="7F8828CB">
      <w:pPr>
        <w:spacing w:line="360" w:lineRule="auto"/>
        <w:ind w:firstLine="0" w:firstLineChars="0"/>
        <w:jc w:val="center"/>
        <w:rPr>
          <w:rFonts w:ascii="方正小标宋简体" w:hAnsi="华文中宋" w:eastAsia="方正小标宋简体"/>
          <w:sz w:val="48"/>
          <w:szCs w:val="52"/>
        </w:rPr>
      </w:pPr>
      <w:r>
        <w:rPr>
          <w:rFonts w:hint="eastAsia" w:ascii="方正小标宋简体" w:hAnsi="华文中宋" w:eastAsia="方正小标宋简体"/>
          <w:sz w:val="48"/>
          <w:szCs w:val="52"/>
        </w:rPr>
        <w:t>《准格尔小杂粮网络交易营销规范》</w:t>
      </w:r>
    </w:p>
    <w:p w14:paraId="3006D3D1">
      <w:pPr>
        <w:spacing w:before="312" w:after="156"/>
        <w:ind w:left="-1133" w:leftChars="-354" w:right="-906" w:rightChars="-283" w:firstLine="0" w:firstLineChars="0"/>
        <w:jc w:val="center"/>
        <w:outlineLvl w:val="0"/>
        <w:rPr>
          <w:rFonts w:ascii="方正小标宋简体" w:hAnsi="华文中宋" w:eastAsia="方正小标宋简体"/>
          <w:sz w:val="48"/>
          <w:szCs w:val="52"/>
        </w:rPr>
      </w:pPr>
      <w:r>
        <w:rPr>
          <w:rFonts w:hint="eastAsia" w:ascii="方正小标宋简体" w:hAnsi="华文中宋" w:eastAsia="方正小标宋简体"/>
          <w:sz w:val="48"/>
          <w:szCs w:val="52"/>
        </w:rPr>
        <w:t>编 制 说 明</w:t>
      </w:r>
    </w:p>
    <w:p w14:paraId="21ED885F">
      <w:pPr>
        <w:spacing w:before="312" w:after="156"/>
        <w:ind w:firstLine="1044"/>
        <w:jc w:val="center"/>
        <w:rPr>
          <w:rFonts w:ascii="宋体" w:hAnsi="宋体" w:eastAsia="宋体"/>
          <w:b/>
          <w:sz w:val="52"/>
          <w:szCs w:val="52"/>
        </w:rPr>
      </w:pPr>
    </w:p>
    <w:p w14:paraId="2F638A81">
      <w:pPr>
        <w:spacing w:before="312" w:after="156"/>
        <w:ind w:firstLine="1044"/>
        <w:jc w:val="center"/>
        <w:rPr>
          <w:rFonts w:ascii="宋体" w:hAnsi="宋体" w:eastAsia="宋体"/>
          <w:b/>
          <w:sz w:val="52"/>
          <w:szCs w:val="52"/>
        </w:rPr>
      </w:pPr>
    </w:p>
    <w:p w14:paraId="592626C9">
      <w:pPr>
        <w:spacing w:before="312" w:after="156"/>
        <w:ind w:firstLine="720"/>
        <w:jc w:val="center"/>
        <w:rPr>
          <w:rFonts w:ascii="黑体" w:hAnsi="黑体" w:eastAsia="黑体"/>
          <w:sz w:val="36"/>
          <w:szCs w:val="36"/>
        </w:rPr>
      </w:pPr>
    </w:p>
    <w:p w14:paraId="62C37054">
      <w:pPr>
        <w:spacing w:before="312" w:after="156"/>
        <w:ind w:firstLine="720"/>
        <w:jc w:val="center"/>
        <w:rPr>
          <w:rFonts w:ascii="黑体" w:hAnsi="黑体" w:eastAsia="黑体"/>
          <w:sz w:val="36"/>
          <w:szCs w:val="36"/>
        </w:rPr>
      </w:pPr>
    </w:p>
    <w:p w14:paraId="4E041045">
      <w:pPr>
        <w:spacing w:before="312" w:after="156"/>
        <w:ind w:firstLine="720"/>
        <w:jc w:val="center"/>
        <w:rPr>
          <w:rFonts w:ascii="黑体" w:hAnsi="黑体" w:eastAsia="黑体"/>
          <w:sz w:val="36"/>
          <w:szCs w:val="36"/>
        </w:rPr>
      </w:pPr>
    </w:p>
    <w:p w14:paraId="4AAACBE0">
      <w:pPr>
        <w:spacing w:before="312" w:after="156"/>
        <w:ind w:firstLine="0" w:firstLineChars="0"/>
        <w:jc w:val="center"/>
        <w:rPr>
          <w:rFonts w:ascii="黑体" w:hAnsi="黑体" w:eastAsia="黑体"/>
          <w:sz w:val="36"/>
          <w:szCs w:val="36"/>
        </w:rPr>
      </w:pPr>
    </w:p>
    <w:p w14:paraId="38698D2B">
      <w:pPr>
        <w:spacing w:before="312" w:after="156"/>
        <w:ind w:firstLine="0" w:firstLineChars="0"/>
        <w:jc w:val="center"/>
        <w:rPr>
          <w:rFonts w:ascii="黑体" w:hAnsi="黑体" w:eastAsia="黑体"/>
          <w:sz w:val="36"/>
          <w:szCs w:val="36"/>
        </w:rPr>
      </w:pPr>
    </w:p>
    <w:p w14:paraId="5B51F55F">
      <w:pPr>
        <w:spacing w:before="312" w:after="156"/>
        <w:ind w:firstLine="0" w:firstLineChars="0"/>
        <w:jc w:val="center"/>
        <w:rPr>
          <w:rFonts w:ascii="黑体" w:hAnsi="黑体" w:eastAsia="黑体"/>
          <w:sz w:val="36"/>
          <w:szCs w:val="36"/>
        </w:rPr>
      </w:pPr>
    </w:p>
    <w:p w14:paraId="08C81CF5">
      <w:pPr>
        <w:spacing w:before="312" w:after="156"/>
        <w:ind w:firstLine="0" w:firstLineChars="0"/>
        <w:jc w:val="center"/>
        <w:rPr>
          <w:rFonts w:ascii="黑体" w:hAnsi="黑体" w:eastAsia="黑体"/>
          <w:sz w:val="36"/>
          <w:szCs w:val="36"/>
        </w:rPr>
      </w:pPr>
    </w:p>
    <w:p w14:paraId="0177F723">
      <w:pPr>
        <w:spacing w:before="312" w:after="156"/>
        <w:ind w:firstLine="0" w:firstLineChars="0"/>
        <w:jc w:val="center"/>
        <w:rPr>
          <w:rFonts w:ascii="黑体" w:hAnsi="黑体" w:eastAsia="黑体"/>
          <w:sz w:val="36"/>
          <w:szCs w:val="36"/>
        </w:rPr>
      </w:pPr>
      <w:r>
        <w:rPr>
          <w:rFonts w:hint="eastAsia" w:ascii="黑体" w:hAnsi="黑体" w:eastAsia="黑体"/>
          <w:sz w:val="36"/>
          <w:szCs w:val="36"/>
        </w:rPr>
        <w:t>二零二五年十一月</w:t>
      </w:r>
    </w:p>
    <w:p w14:paraId="1A6DCFA1">
      <w:pPr>
        <w:pStyle w:val="2"/>
        <w:spacing w:before="240" w:after="240"/>
        <w:ind w:firstLine="0" w:firstLineChars="0"/>
      </w:pPr>
      <w:r>
        <w:rPr>
          <w:rFonts w:hint="eastAsia"/>
        </w:rPr>
        <w:t>一、工作简况</w:t>
      </w:r>
    </w:p>
    <w:p w14:paraId="5B752C48">
      <w:pPr>
        <w:pStyle w:val="7"/>
        <w:ind w:firstLine="560"/>
        <w:rPr>
          <w:rFonts w:ascii="楷体_GB2312"/>
          <w:b w:val="0"/>
          <w:bCs w:val="0"/>
          <w:sz w:val="28"/>
          <w:szCs w:val="28"/>
        </w:rPr>
      </w:pPr>
      <w:r>
        <w:rPr>
          <w:rFonts w:hint="eastAsia" w:ascii="楷体_GB2312"/>
          <w:b w:val="0"/>
          <w:bCs w:val="0"/>
          <w:sz w:val="28"/>
          <w:szCs w:val="28"/>
        </w:rPr>
        <w:t>1、任务来源</w:t>
      </w:r>
    </w:p>
    <w:p w14:paraId="00CDA44C">
      <w:pPr>
        <w:spacing w:line="570" w:lineRule="exact"/>
        <w:ind w:firstLine="560"/>
        <w:jc w:val="both"/>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2025年8月，内蒙古自治区质量和标准化研究院与准格尔旗市场监督管理局签署《“准格尔羯羊”“准格尔糜米”标准体系规划项目》技术服务协议，以推动准格尔旗糜米标准化工作高质量发展为目标进行编制。</w:t>
      </w:r>
    </w:p>
    <w:p w14:paraId="6D602DA3">
      <w:pPr>
        <w:spacing w:line="570" w:lineRule="exact"/>
        <w:ind w:firstLine="560"/>
        <w:jc w:val="both"/>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根据标准体系规划内容，研制《准格尔糜米种植技术规范》《准格尔糜米加工操作技术规范》《准格尔糜米质量要求》《准格尔小杂粮网络交易营销规范》等4项团体标准，对准格尔糜米标准体系进行补充和完善。</w:t>
      </w:r>
    </w:p>
    <w:p w14:paraId="5EB9E7CD">
      <w:pPr>
        <w:pStyle w:val="7"/>
        <w:ind w:firstLine="560"/>
        <w:rPr>
          <w:rFonts w:ascii="楷体_GB2312"/>
          <w:b w:val="0"/>
          <w:bCs w:val="0"/>
          <w:sz w:val="28"/>
          <w:szCs w:val="28"/>
        </w:rPr>
      </w:pPr>
      <w:r>
        <w:rPr>
          <w:rFonts w:hint="eastAsia" w:ascii="楷体_GB2312"/>
          <w:b w:val="0"/>
          <w:bCs w:val="0"/>
          <w:sz w:val="28"/>
          <w:szCs w:val="28"/>
        </w:rPr>
        <w:t>2、起草单位</w:t>
      </w:r>
    </w:p>
    <w:p w14:paraId="07874FD7">
      <w:pPr>
        <w:ind w:firstLine="560"/>
        <w:jc w:val="both"/>
        <w:rPr>
          <w:sz w:val="28"/>
          <w:szCs w:val="28"/>
        </w:rPr>
      </w:pPr>
      <w:r>
        <w:rPr>
          <w:rFonts w:hint="eastAsia"/>
          <w:sz w:val="28"/>
          <w:szCs w:val="28"/>
        </w:rPr>
        <w:t>内蒙古自治区质量和标准化研究院。</w:t>
      </w:r>
    </w:p>
    <w:p w14:paraId="234A67D6">
      <w:pPr>
        <w:pStyle w:val="7"/>
        <w:ind w:firstLine="560"/>
        <w:rPr>
          <w:rFonts w:ascii="楷体_GB2312"/>
          <w:b w:val="0"/>
          <w:bCs w:val="0"/>
          <w:sz w:val="28"/>
          <w:szCs w:val="28"/>
        </w:rPr>
      </w:pPr>
      <w:r>
        <w:rPr>
          <w:rFonts w:hint="eastAsia" w:ascii="楷体_GB2312"/>
          <w:b w:val="0"/>
          <w:bCs w:val="0"/>
          <w:sz w:val="28"/>
          <w:szCs w:val="28"/>
        </w:rPr>
        <w:t>3、协作单位</w:t>
      </w:r>
    </w:p>
    <w:p w14:paraId="20B87E51">
      <w:pPr>
        <w:ind w:firstLine="560"/>
        <w:jc w:val="both"/>
        <w:rPr>
          <w:sz w:val="28"/>
          <w:szCs w:val="28"/>
        </w:rPr>
      </w:pPr>
      <w:r>
        <w:rPr>
          <w:rFonts w:hint="eastAsia"/>
          <w:sz w:val="28"/>
          <w:szCs w:val="28"/>
        </w:rPr>
        <w:t>准格尔旗市场监督管理局、准格尔旗农牧局。</w:t>
      </w:r>
    </w:p>
    <w:p w14:paraId="0121DB09">
      <w:pPr>
        <w:ind w:firstLine="560"/>
        <w:jc w:val="both"/>
        <w:rPr>
          <w:rFonts w:ascii="楷体_GB2312" w:eastAsia="楷体_GB2312"/>
          <w:sz w:val="28"/>
          <w:szCs w:val="28"/>
        </w:rPr>
      </w:pPr>
      <w:r>
        <w:rPr>
          <w:rFonts w:hint="eastAsia" w:ascii="楷体_GB2312" w:eastAsia="楷体_GB2312"/>
          <w:sz w:val="28"/>
          <w:szCs w:val="28"/>
          <w:highlight w:val="yellow"/>
        </w:rPr>
        <w:t>4、主要起草人</w:t>
      </w:r>
    </w:p>
    <w:p w14:paraId="6050A0F6">
      <w:pPr>
        <w:pStyle w:val="2"/>
        <w:spacing w:before="240" w:after="240"/>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二、制定标准的必要性、意义及先进性说明</w:t>
      </w:r>
    </w:p>
    <w:p w14:paraId="62ABDE8D">
      <w:pPr>
        <w:ind w:firstLine="560"/>
        <w:jc w:val="both"/>
        <w:rPr>
          <w:rFonts w:hint="eastAsia"/>
          <w:sz w:val="28"/>
        </w:rPr>
      </w:pPr>
      <w:r>
        <w:rPr>
          <w:rFonts w:hint="eastAsia"/>
          <w:sz w:val="28"/>
        </w:rPr>
        <w:t>准格尔小杂粮作为区域特色农产品，其地理标志价值与品牌形象需通过规范交易营销巩固。当前网络平台上，部分非正规商家滥用 “准格尔小杂粮” 品牌名称，销售低品质产品，导致品牌形象受损、市场认可度下降；同时，正规商家因缺乏统一营销规范，在产品包装设计、宣传话术、品牌传播等方面各自为战，难以形成品牌合力。标准通过明确品牌使用规范、统一产品包装标识要素、规范宣传传播口径，可有效保护 “准格尔小杂粮” 地域品牌知识产权，避免品牌稀释，同时引导商家形成标准化的品牌营销模式，凸显地域特色与品质优势，提升产品溢价能力和市场竞争力。</w:t>
      </w:r>
    </w:p>
    <w:p w14:paraId="09E01B19">
      <w:pPr>
        <w:ind w:firstLine="560"/>
        <w:jc w:val="both"/>
        <w:rPr>
          <w:rFonts w:hint="eastAsia"/>
          <w:sz w:val="28"/>
        </w:rPr>
      </w:pPr>
      <w:r>
        <w:rPr>
          <w:rFonts w:hint="eastAsia"/>
          <w:sz w:val="28"/>
        </w:rPr>
        <w:t>准格尔小杂粮网络交易中，存在虚假宣传、恶性竞争、交易不规范等问题，严重损害消费者信任与行业公平。制定标准可通过明确内容合规要求、竞争规则、交易流程规范，有效遏制乱象，推动市场有序发展。</w:t>
      </w:r>
    </w:p>
    <w:p w14:paraId="6BE01BB6">
      <w:pPr>
        <w:ind w:firstLine="560"/>
        <w:jc w:val="both"/>
        <w:rPr>
          <w:rFonts w:hint="eastAsia"/>
          <w:sz w:val="28"/>
        </w:rPr>
      </w:pPr>
      <w:r>
        <w:rPr>
          <w:rFonts w:hint="eastAsia"/>
          <w:sz w:val="28"/>
        </w:rPr>
        <w:t>准格尔小杂粮多为小规模分散生产，缺乏统一的质量分级、包装规格与溯源体系，导致产品一致性差、品牌辨识度低。标准可通过制定产品质量标准、包装规范、溯源体系要求，提高产品标准化程度，强化“准格尔小杂粮”区域品牌公信力。</w:t>
      </w:r>
    </w:p>
    <w:p w14:paraId="551489E8">
      <w:pPr>
        <w:ind w:firstLine="560"/>
        <w:jc w:val="both"/>
        <w:rPr>
          <w:rFonts w:hint="eastAsia"/>
          <w:sz w:val="28"/>
        </w:rPr>
      </w:pPr>
      <w:r>
        <w:rPr>
          <w:rFonts w:hint="eastAsia"/>
          <w:sz w:val="28"/>
        </w:rPr>
        <w:t>网络交易中，消费者面临信息不对称、售后无保障等问题。标准可通过要求信息披露规范、用户隐私保护、售后服务标准，提升消费透明度与信任度。准格尔小杂粮产业需从传统分散模式向“标准化生产+网络化营销”转型，以适应电商市场需求。标准可通过引导生产标准化、平台运营规范化、物流配送标准化，促进产业融合升级，提高农民收入，助力乡村振兴。</w:t>
      </w:r>
    </w:p>
    <w:p w14:paraId="4EA69512">
      <w:pPr>
        <w:ind w:firstLine="560"/>
        <w:jc w:val="both"/>
        <w:rPr>
          <w:sz w:val="28"/>
        </w:rPr>
      </w:pPr>
      <w:r>
        <w:rPr>
          <w:rFonts w:hint="eastAsia"/>
          <w:sz w:val="28"/>
        </w:rPr>
        <w:t>当前准格尔小杂粮网络商家因缺乏针对性规范指引，容易出现合规漏洞，如未公示食品生产许可证、宣传内容违反《广告法》禁止性规定等，面临被处罚、店铺下架的风险。因此，制定《</w:t>
      </w:r>
      <w:bookmarkStart w:id="0" w:name="OLE_LINK1"/>
      <w:bookmarkStart w:id="1" w:name="OLE_LINK2"/>
      <w:r>
        <w:rPr>
          <w:rFonts w:hint="eastAsia"/>
          <w:sz w:val="28"/>
        </w:rPr>
        <w:t>准格尔小杂粮网络交易营销规范</w:t>
      </w:r>
      <w:bookmarkEnd w:id="0"/>
      <w:bookmarkEnd w:id="1"/>
      <w:r>
        <w:rPr>
          <w:rFonts w:hint="eastAsia"/>
          <w:sz w:val="28"/>
        </w:rPr>
        <w:t>》团体标准，将细化法律法规在小杂粮网络交易场景中的具体要求，明确合规边界与操作细则，帮助商家提前规避合规风险，同时为监管部门提供明确的执法依据，实现 “监管有标准、企业有遵循” 的良性互动。</w:t>
      </w:r>
    </w:p>
    <w:p w14:paraId="38842BB7">
      <w:pPr>
        <w:pStyle w:val="2"/>
        <w:spacing w:before="240" w:after="240"/>
        <w:ind w:firstLine="0" w:firstLineChars="0"/>
      </w:pPr>
      <w:r>
        <w:rPr>
          <w:rFonts w:hint="eastAsia"/>
        </w:rPr>
        <w:t>三、主要起草过程</w:t>
      </w:r>
    </w:p>
    <w:p w14:paraId="5F81E9D3">
      <w:pPr>
        <w:pStyle w:val="7"/>
        <w:ind w:firstLine="593" w:firstLineChars="212"/>
        <w:rPr>
          <w:rFonts w:ascii="楷体_GB2312"/>
          <w:b w:val="0"/>
          <w:bCs w:val="0"/>
          <w:sz w:val="28"/>
          <w:szCs w:val="28"/>
        </w:rPr>
      </w:pPr>
      <w:r>
        <w:rPr>
          <w:rFonts w:hint="eastAsia" w:ascii="楷体_GB2312"/>
          <w:b w:val="0"/>
          <w:bCs w:val="0"/>
          <w:sz w:val="28"/>
          <w:szCs w:val="28"/>
        </w:rPr>
        <w:t>1、前期准备工作</w:t>
      </w:r>
    </w:p>
    <w:p w14:paraId="712A0116">
      <w:pPr>
        <w:pStyle w:val="7"/>
        <w:ind w:firstLine="593" w:firstLineChars="212"/>
        <w:jc w:val="both"/>
        <w:rPr>
          <w:rFonts w:ascii="仿宋_GB2312" w:eastAsia="仿宋_GB2312"/>
          <w:b w:val="0"/>
          <w:bCs w:val="0"/>
          <w:sz w:val="28"/>
          <w:szCs w:val="28"/>
        </w:rPr>
      </w:pPr>
      <w:r>
        <w:rPr>
          <w:rFonts w:hint="eastAsia" w:ascii="仿宋_GB2312" w:eastAsia="仿宋_GB2312"/>
          <w:b w:val="0"/>
          <w:sz w:val="28"/>
          <w:szCs w:val="28"/>
        </w:rPr>
        <w:t>项目立项前，标准起草小组查阅、阅读相关国内外文献、广泛搜集准格尔小杂粮网络交易营销相关的材料。2025年5月，内蒙古自治区质量和标准化研究院标准起草小组对准格尔糜米开展调研、交流，广泛征求标准制定方面的意见和建议。2025年8月，起草组组织内部研讨会议，对标准的前期准备工作和标准编写的主要方向作了详细的分析和工作部署。</w:t>
      </w:r>
    </w:p>
    <w:p w14:paraId="57372B0D">
      <w:pPr>
        <w:pStyle w:val="7"/>
        <w:ind w:firstLine="560"/>
        <w:rPr>
          <w:rFonts w:ascii="楷体_GB2312"/>
          <w:b w:val="0"/>
          <w:bCs w:val="0"/>
          <w:sz w:val="28"/>
          <w:szCs w:val="28"/>
        </w:rPr>
      </w:pPr>
      <w:r>
        <w:rPr>
          <w:rFonts w:hint="eastAsia" w:ascii="楷体_GB2312"/>
          <w:b w:val="0"/>
          <w:bCs w:val="0"/>
          <w:sz w:val="28"/>
          <w:szCs w:val="28"/>
        </w:rPr>
        <w:t>2、标准起草过程</w:t>
      </w:r>
    </w:p>
    <w:p w14:paraId="28D7DF83">
      <w:pPr>
        <w:ind w:firstLine="560"/>
        <w:jc w:val="both"/>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团体标准立项通知公示后，标准起草小组首先组织了标准制定工作会议，各编写人员根据工作计划分工和编写要求开展了相关工作。在标准起草期间，起草小组主编单位及参编单位组织了数次内部研讨会，经过多次修改，于2025年10月完成了标准初稿及编制说明的撰写工作。</w:t>
      </w:r>
    </w:p>
    <w:p w14:paraId="6219B131">
      <w:pPr>
        <w:ind w:firstLine="560"/>
        <w:jc w:val="both"/>
        <w:rPr>
          <w:rFonts w:ascii="楷体_GB2312" w:eastAsia="楷体_GB2312"/>
          <w:sz w:val="28"/>
          <w:szCs w:val="28"/>
        </w:rPr>
      </w:pPr>
      <w:r>
        <w:rPr>
          <w:rFonts w:hint="eastAsia" w:ascii="楷体_GB2312" w:eastAsia="楷体_GB2312"/>
          <w:sz w:val="28"/>
          <w:szCs w:val="28"/>
        </w:rPr>
        <w:t>3、征求意见情况</w:t>
      </w:r>
    </w:p>
    <w:p w14:paraId="32E0587D">
      <w:pPr>
        <w:ind w:firstLine="560"/>
        <w:jc w:val="both"/>
        <w:rPr>
          <w:color w:val="000000" w:themeColor="text1"/>
          <w:sz w:val="28"/>
          <w:szCs w:val="28"/>
          <w14:textFill>
            <w14:solidFill>
              <w14:schemeClr w14:val="tx1"/>
            </w14:solidFill>
          </w14:textFill>
        </w:rPr>
      </w:pPr>
      <w:r>
        <w:rPr>
          <w:rFonts w:hint="eastAsia"/>
          <w:bCs/>
          <w:sz w:val="28"/>
          <w:szCs w:val="28"/>
        </w:rPr>
        <w:t>2025年11月，</w:t>
      </w:r>
      <w:r>
        <w:rPr>
          <w:rFonts w:hint="eastAsia"/>
          <w:sz w:val="28"/>
          <w:szCs w:val="28"/>
        </w:rPr>
        <w:t>标准起草组组织区内外专家召开《准格尔小杂粮网络交易营销规范》团体标准研讨会，会议邀请了</w:t>
      </w:r>
      <w:r>
        <w:rPr>
          <w:rFonts w:hint="eastAsia"/>
          <w:sz w:val="28"/>
          <w:szCs w:val="28"/>
          <w:highlight w:val="yellow"/>
        </w:rPr>
        <w:t>XXX</w:t>
      </w:r>
      <w:r>
        <w:rPr>
          <w:rFonts w:hint="eastAsia"/>
          <w:sz w:val="28"/>
          <w:szCs w:val="28"/>
        </w:rPr>
        <w:t>等单位的5位专家。经专家严谨认真的不断讨论、推敲，提出了修改意见和建议，会后标准起草组汇总整理专家意见和建议，对标准逐条进行修改，最终形成标准送审稿。</w:t>
      </w:r>
    </w:p>
    <w:p w14:paraId="62FC6306">
      <w:pPr>
        <w:ind w:firstLine="560"/>
        <w:rPr>
          <w:rFonts w:ascii="楷体_GB2312" w:hAnsi="仿宋" w:eastAsia="楷体_GB2312"/>
          <w:bCs/>
          <w:sz w:val="28"/>
          <w:szCs w:val="28"/>
        </w:rPr>
      </w:pPr>
      <w:r>
        <w:rPr>
          <w:rFonts w:hint="eastAsia" w:ascii="楷体_GB2312" w:hAnsi="仿宋" w:eastAsia="楷体_GB2312"/>
          <w:bCs/>
          <w:sz w:val="28"/>
          <w:szCs w:val="28"/>
        </w:rPr>
        <w:t>4、审查意见情况</w:t>
      </w:r>
    </w:p>
    <w:p w14:paraId="4D4E0382">
      <w:pPr>
        <w:ind w:firstLine="560"/>
        <w:jc w:val="both"/>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2025年12月，标准起草组组织区内外专家召开《准格尔小杂粮网络交易营销规范》团体标准审查会，与会专家对标准送审稿进行了充分、认真、细致的讨论和审查，提出了修改意见和建议。会后，标准起草组根据会上专家的意见和建议对标准送审稿进行了进一步修改完善，形成了标准报批稿，提交至内蒙古标准发展促进会。</w:t>
      </w:r>
    </w:p>
    <w:p w14:paraId="7FBF0989">
      <w:pPr>
        <w:pStyle w:val="2"/>
        <w:spacing w:before="240" w:after="240"/>
        <w:ind w:firstLine="0" w:firstLineChars="0"/>
      </w:pPr>
      <w:r>
        <w:rPr>
          <w:rFonts w:hint="eastAsia"/>
        </w:rPr>
        <w:t>四、制定标准的原则和依据</w:t>
      </w:r>
    </w:p>
    <w:p w14:paraId="4BACCB6E">
      <w:pPr>
        <w:ind w:firstLine="560"/>
        <w:jc w:val="both"/>
        <w:rPr>
          <w:sz w:val="28"/>
        </w:rPr>
      </w:pPr>
      <w:r>
        <w:rPr>
          <w:rFonts w:hint="eastAsia"/>
          <w:sz w:val="28"/>
        </w:rPr>
        <w:t>1、按照GB/T 1.1-2020《标准化工作导则 第1部分：标准化文件的结构和起草规则》的要求进行编写。</w:t>
      </w:r>
    </w:p>
    <w:p w14:paraId="1EEA9DAD">
      <w:pPr>
        <w:ind w:firstLine="560"/>
        <w:jc w:val="both"/>
        <w:rPr>
          <w:sz w:val="28"/>
        </w:rPr>
      </w:pPr>
      <w:r>
        <w:rPr>
          <w:rFonts w:hint="eastAsia"/>
          <w:sz w:val="28"/>
        </w:rPr>
        <w:t>2、参照相关法律、法规和规定，在编制过程中着重考虑了科学性、适用性和可操作性。</w:t>
      </w:r>
    </w:p>
    <w:p w14:paraId="59EEB166">
      <w:pPr>
        <w:pStyle w:val="2"/>
        <w:spacing w:before="240" w:after="240"/>
        <w:ind w:firstLine="0" w:firstLineChars="0"/>
      </w:pPr>
      <w:r>
        <w:rPr>
          <w:rFonts w:hint="eastAsia"/>
        </w:rPr>
        <w:t>五、主要条款说明</w:t>
      </w:r>
    </w:p>
    <w:p w14:paraId="2CE56EEF">
      <w:pPr>
        <w:pStyle w:val="7"/>
        <w:ind w:firstLine="560"/>
        <w:rPr>
          <w:rFonts w:ascii="楷体_GB2312"/>
          <w:b w:val="0"/>
          <w:bCs w:val="0"/>
          <w:sz w:val="28"/>
          <w:szCs w:val="28"/>
        </w:rPr>
      </w:pPr>
      <w:r>
        <w:rPr>
          <w:rFonts w:hint="eastAsia" w:ascii="楷体_GB2312"/>
          <w:b w:val="0"/>
          <w:bCs w:val="0"/>
          <w:sz w:val="28"/>
          <w:szCs w:val="28"/>
        </w:rPr>
        <w:t>1、依据来源</w:t>
      </w:r>
    </w:p>
    <w:p w14:paraId="3A478154">
      <w:pPr>
        <w:ind w:firstLine="560"/>
        <w:jc w:val="both"/>
        <w:rPr>
          <w:sz w:val="28"/>
          <w:szCs w:val="28"/>
        </w:rPr>
      </w:pPr>
      <w:r>
        <w:rPr>
          <w:rFonts w:hint="eastAsia"/>
          <w:sz w:val="28"/>
          <w:szCs w:val="28"/>
        </w:rPr>
        <w:t>本文件编制过程中，主要依据《中华人民共和国标准化法》《中华人民共和国标准化法实施条例》《中华人民共和国农业法》《中华人民共和国种子法》《中华人民共和国农产品质量安全法》《中华人民共和国电子商务法》等法律法规及相关强制性国家标准。</w:t>
      </w:r>
    </w:p>
    <w:p w14:paraId="0D6222CE">
      <w:pPr>
        <w:pStyle w:val="7"/>
        <w:ind w:firstLine="560"/>
        <w:rPr>
          <w:rFonts w:ascii="楷体_GB2312"/>
          <w:b w:val="0"/>
          <w:bCs w:val="0"/>
          <w:sz w:val="28"/>
          <w:szCs w:val="28"/>
        </w:rPr>
      </w:pPr>
      <w:r>
        <w:rPr>
          <w:rFonts w:hint="eastAsia" w:ascii="楷体_GB2312"/>
          <w:b w:val="0"/>
          <w:bCs w:val="0"/>
          <w:sz w:val="28"/>
          <w:szCs w:val="28"/>
        </w:rPr>
        <w:t>2、主要内容</w:t>
      </w:r>
    </w:p>
    <w:p w14:paraId="2E870FBE">
      <w:pPr>
        <w:ind w:firstLine="560"/>
        <w:jc w:val="both"/>
        <w:rPr>
          <w:rFonts w:hint="eastAsia"/>
          <w:sz w:val="28"/>
        </w:rPr>
      </w:pPr>
      <w:r>
        <w:rPr>
          <w:rFonts w:hint="eastAsia"/>
          <w:sz w:val="28"/>
        </w:rPr>
        <w:t>本文件对准格尔小杂粮网络交易营销要求进行科学合理的规范。</w:t>
      </w:r>
    </w:p>
    <w:p w14:paraId="747F4A2D">
      <w:pPr>
        <w:ind w:firstLine="560"/>
        <w:jc w:val="both"/>
        <w:rPr>
          <w:sz w:val="28"/>
          <w:highlight w:val="yellow"/>
        </w:rPr>
      </w:pPr>
      <w:r>
        <w:rPr>
          <w:rFonts w:hint="eastAsia"/>
          <w:sz w:val="28"/>
        </w:rPr>
        <w:t>本文件规定了。</w:t>
      </w:r>
    </w:p>
    <w:p w14:paraId="6A82A52E">
      <w:pPr>
        <w:ind w:firstLine="560"/>
        <w:jc w:val="both"/>
        <w:rPr>
          <w:rFonts w:hint="eastAsia"/>
          <w:sz w:val="28"/>
        </w:rPr>
      </w:pPr>
      <w:r>
        <w:rPr>
          <w:rFonts w:hint="eastAsia"/>
          <w:sz w:val="28"/>
        </w:rPr>
        <w:t>标准正文共分8章：范围、规范性引用文件、术语和定义、产量质量控制要求、网络营销要求、交易与服务流程要求、数据与隐私保护要求和监督管理与信用评价。</w:t>
      </w:r>
    </w:p>
    <w:p w14:paraId="1F49FC26">
      <w:pPr>
        <w:ind w:firstLine="560"/>
        <w:jc w:val="both"/>
        <w:rPr>
          <w:sz w:val="28"/>
        </w:rPr>
      </w:pPr>
      <w:r>
        <w:rPr>
          <w:rFonts w:hint="eastAsia"/>
          <w:sz w:val="28"/>
        </w:rPr>
        <w:t>（1）范围</w:t>
      </w:r>
    </w:p>
    <w:p w14:paraId="52AF88B9">
      <w:pPr>
        <w:ind w:firstLine="560"/>
        <w:jc w:val="both"/>
        <w:rPr>
          <w:rFonts w:hint="eastAsia"/>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本文件规定了准格尔小杂粮网络交易营销要求。本文件适用于准格尔小杂粮网络交易营销活动（包括直播、电商店铺、社交媒体营销等）。</w:t>
      </w:r>
    </w:p>
    <w:p w14:paraId="1FA90BC4">
      <w:pPr>
        <w:ind w:firstLine="560"/>
        <w:jc w:val="both"/>
        <w:rPr>
          <w:sz w:val="28"/>
        </w:rPr>
      </w:pPr>
      <w:r>
        <w:rPr>
          <w:rFonts w:hint="eastAsia"/>
          <w:sz w:val="28"/>
        </w:rPr>
        <w:t>（2）规范性引用文件</w:t>
      </w:r>
    </w:p>
    <w:p w14:paraId="4ED3DB85">
      <w:pPr>
        <w:spacing w:line="570" w:lineRule="exact"/>
        <w:ind w:firstLine="560" w:firstLineChars="0"/>
        <w:jc w:val="both"/>
        <w:rPr>
          <w:sz w:val="28"/>
        </w:rPr>
      </w:pPr>
      <w:r>
        <w:rPr>
          <w:rFonts w:hint="eastAsia"/>
          <w:sz w:val="28"/>
        </w:rPr>
        <w:t>列出了引用的国家标准2项，引用文件均已进行查新。</w:t>
      </w:r>
    </w:p>
    <w:p w14:paraId="5C29513C">
      <w:pPr>
        <w:ind w:firstLine="560"/>
        <w:jc w:val="both"/>
        <w:rPr>
          <w:sz w:val="28"/>
        </w:rPr>
      </w:pPr>
      <w:r>
        <w:rPr>
          <w:rFonts w:hint="eastAsia"/>
          <w:sz w:val="28"/>
        </w:rPr>
        <w:t>（3）主要技术内容</w:t>
      </w:r>
    </w:p>
    <w:p w14:paraId="37863171">
      <w:pPr>
        <w:ind w:firstLine="560"/>
        <w:jc w:val="both"/>
        <w:rPr>
          <w:rFonts w:hint="eastAsia"/>
          <w:sz w:val="28"/>
        </w:rPr>
      </w:pPr>
      <w:r>
        <w:rPr>
          <w:rFonts w:hint="eastAsia"/>
          <w:sz w:val="28"/>
        </w:rPr>
        <w:t>1、产量质量控制要求</w:t>
      </w:r>
    </w:p>
    <w:p w14:paraId="400DB8F5">
      <w:pPr>
        <w:ind w:firstLine="560"/>
        <w:jc w:val="both"/>
        <w:rPr>
          <w:rFonts w:hint="eastAsia"/>
          <w:sz w:val="28"/>
        </w:rPr>
      </w:pPr>
      <w:r>
        <w:rPr>
          <w:rFonts w:hint="eastAsia"/>
          <w:sz w:val="28"/>
        </w:rPr>
        <w:t>包括质量分级、安全指标和检测与溯源。</w:t>
      </w:r>
    </w:p>
    <w:p w14:paraId="424EBF08">
      <w:pPr>
        <w:ind w:firstLine="560"/>
        <w:jc w:val="both"/>
        <w:rPr>
          <w:rFonts w:hint="eastAsia"/>
          <w:sz w:val="28"/>
        </w:rPr>
      </w:pPr>
      <w:r>
        <w:rPr>
          <w:rFonts w:hint="eastAsia"/>
          <w:sz w:val="28"/>
        </w:rPr>
        <w:t>2、网络营销要求</w:t>
      </w:r>
    </w:p>
    <w:p w14:paraId="07EB0901">
      <w:pPr>
        <w:ind w:firstLine="560"/>
        <w:jc w:val="both"/>
        <w:rPr>
          <w:rFonts w:hint="eastAsia"/>
          <w:sz w:val="28"/>
        </w:rPr>
      </w:pPr>
      <w:r>
        <w:rPr>
          <w:rFonts w:hint="eastAsia"/>
          <w:sz w:val="28"/>
        </w:rPr>
        <w:t>包括真实性、广告标注和品牌标识。</w:t>
      </w:r>
    </w:p>
    <w:p w14:paraId="154CE7E9">
      <w:pPr>
        <w:ind w:firstLine="560"/>
        <w:jc w:val="both"/>
        <w:rPr>
          <w:rFonts w:hint="eastAsia"/>
          <w:sz w:val="28"/>
        </w:rPr>
      </w:pPr>
      <w:r>
        <w:rPr>
          <w:rFonts w:hint="eastAsia"/>
          <w:sz w:val="28"/>
        </w:rPr>
        <w:t>3、交易与服务流程要求</w:t>
      </w:r>
    </w:p>
    <w:p w14:paraId="30F6A1F0">
      <w:pPr>
        <w:ind w:firstLine="560"/>
        <w:jc w:val="both"/>
        <w:rPr>
          <w:rFonts w:hint="eastAsia"/>
          <w:sz w:val="28"/>
        </w:rPr>
      </w:pPr>
      <w:r>
        <w:rPr>
          <w:rFonts w:hint="eastAsia"/>
          <w:sz w:val="28"/>
        </w:rPr>
        <w:t>包括平台运营、订单与支付、物流配送和售后服务。</w:t>
      </w:r>
    </w:p>
    <w:p w14:paraId="0C320DF2">
      <w:pPr>
        <w:ind w:firstLine="560"/>
        <w:jc w:val="both"/>
        <w:rPr>
          <w:rFonts w:hint="eastAsia"/>
          <w:sz w:val="28"/>
        </w:rPr>
      </w:pPr>
      <w:r>
        <w:rPr>
          <w:rFonts w:hint="eastAsia"/>
          <w:sz w:val="28"/>
        </w:rPr>
        <w:t>4、数据与隐私保护要求</w:t>
      </w:r>
    </w:p>
    <w:p w14:paraId="2F894B98">
      <w:pPr>
        <w:ind w:firstLine="560"/>
        <w:jc w:val="both"/>
        <w:rPr>
          <w:rFonts w:hint="eastAsia"/>
          <w:sz w:val="28"/>
        </w:rPr>
      </w:pPr>
      <w:r>
        <w:rPr>
          <w:rFonts w:hint="eastAsia"/>
          <w:sz w:val="28"/>
        </w:rPr>
        <w:t>包括数据收集、数据使用和隐私政策。</w:t>
      </w:r>
    </w:p>
    <w:p w14:paraId="29A790B4">
      <w:pPr>
        <w:ind w:firstLine="560"/>
        <w:jc w:val="both"/>
        <w:rPr>
          <w:rFonts w:hint="eastAsia"/>
          <w:sz w:val="28"/>
        </w:rPr>
      </w:pPr>
      <w:r>
        <w:rPr>
          <w:rFonts w:hint="eastAsia"/>
          <w:sz w:val="28"/>
        </w:rPr>
        <w:t>5、监督管理与信用评价</w:t>
      </w:r>
    </w:p>
    <w:p w14:paraId="47CAF4B7">
      <w:pPr>
        <w:ind w:firstLine="560"/>
        <w:jc w:val="both"/>
        <w:rPr>
          <w:rFonts w:hint="eastAsia"/>
          <w:sz w:val="28"/>
        </w:rPr>
      </w:pPr>
      <w:r>
        <w:rPr>
          <w:rFonts w:hint="eastAsia"/>
          <w:sz w:val="28"/>
        </w:rPr>
        <w:t>包括监管机制和信用评价。</w:t>
      </w:r>
    </w:p>
    <w:p w14:paraId="51600893">
      <w:pPr>
        <w:pStyle w:val="2"/>
        <w:ind w:firstLine="0" w:firstLineChars="0"/>
      </w:pPr>
      <w:r>
        <w:t>六、重大意见分歧的处理依据和结果</w:t>
      </w:r>
    </w:p>
    <w:p w14:paraId="647F0127">
      <w:pPr>
        <w:widowControl/>
        <w:tabs>
          <w:tab w:val="center" w:pos="4201"/>
          <w:tab w:val="right" w:leader="dot" w:pos="9298"/>
        </w:tabs>
        <w:autoSpaceDE w:val="0"/>
        <w:autoSpaceDN w:val="0"/>
        <w:ind w:firstLine="560"/>
        <w:jc w:val="both"/>
        <w:rPr>
          <w:sz w:val="28"/>
        </w:rPr>
      </w:pPr>
      <w:r>
        <w:rPr>
          <w:rFonts w:hint="eastAsia"/>
          <w:sz w:val="28"/>
        </w:rPr>
        <w:t>本文件制定过程中征求了相关专家的意见和建议，无任何重大意见分歧。若审定过程中出现需要修订完善的部分，需由起草小组根据专家意见进行讨论和修改。</w:t>
      </w:r>
    </w:p>
    <w:p w14:paraId="188C64E9">
      <w:pPr>
        <w:pStyle w:val="2"/>
        <w:ind w:firstLine="0" w:firstLineChars="0"/>
      </w:pPr>
      <w:r>
        <w:rPr>
          <w:rFonts w:hint="eastAsia"/>
        </w:rPr>
        <w:t>七、采用国际标准或国外先进标准的，说明采标程度，以及国内外同类标准的对比情况</w:t>
      </w:r>
    </w:p>
    <w:p w14:paraId="385B875B">
      <w:pPr>
        <w:ind w:firstLine="560"/>
        <w:rPr>
          <w:rFonts w:ascii="楷体_GB2312" w:eastAsia="楷体_GB2312"/>
          <w:sz w:val="28"/>
          <w:szCs w:val="28"/>
        </w:rPr>
      </w:pPr>
      <w:r>
        <w:rPr>
          <w:rFonts w:hint="eastAsia" w:ascii="楷体_GB2312" w:eastAsia="楷体_GB2312"/>
          <w:sz w:val="28"/>
          <w:szCs w:val="28"/>
        </w:rPr>
        <w:t>（一）国内技术状况</w:t>
      </w:r>
    </w:p>
    <w:p w14:paraId="6FD0A5AB">
      <w:pPr>
        <w:ind w:firstLine="560"/>
        <w:jc w:val="both"/>
        <w:rPr>
          <w:rFonts w:hint="eastAsia"/>
          <w:sz w:val="28"/>
          <w:szCs w:val="28"/>
        </w:rPr>
      </w:pPr>
      <w:r>
        <w:rPr>
          <w:rFonts w:hint="eastAsia"/>
          <w:sz w:val="28"/>
          <w:szCs w:val="28"/>
        </w:rPr>
        <w:t>国内已构建多层次农产品电商相关标准体系，为特色规范制定提供坚实依据。国家标准层面，《电子商务 农产品销售商准入基本要求》明确了销售商入驻审核、过程管理等核心要求，《电子商务农产品验收规范》规范了产品验收流程与管理标准。地方标准与团体标准层面，山东、广东、内蒙古等地已出台多项专项规范，涵盖农产品电商包装、配送服务、分级预包装、销售服务等环节，例如《农产品电子商务流通规范》《农村电子商务平台农产品交易服务规范》等，形成了“通用要求+专项规范”的成熟框架。</w:t>
      </w:r>
    </w:p>
    <w:p w14:paraId="6A35A62A">
      <w:pPr>
        <w:ind w:firstLine="560"/>
        <w:jc w:val="both"/>
        <w:rPr>
          <w:rFonts w:hint="eastAsia"/>
          <w:sz w:val="28"/>
          <w:szCs w:val="28"/>
        </w:rPr>
      </w:pPr>
      <w:r>
        <w:rPr>
          <w:rFonts w:hint="eastAsia"/>
          <w:sz w:val="28"/>
          <w:szCs w:val="28"/>
        </w:rPr>
        <w:t>现有标准多为通用性或单一环节规范，缺乏针对区域小杂粮的全流程网络营销专项标准。一方面，未结合准格尔小杂粮“多品种、地域特色鲜明”的特点，明确产地溯源、品质分级、特色宣传等核心要求；另一方面，对小杂粮网络营销中的合规宣传边界、包装物流适配性、售后纠纷处理等针对性指引不足，难以解决准格尔小杂粮网络交易中地域品牌保护、品质一致性保障等特殊问题。</w:t>
      </w:r>
    </w:p>
    <w:p w14:paraId="2AC4E1C7">
      <w:pPr>
        <w:ind w:firstLine="560"/>
        <w:rPr>
          <w:rFonts w:ascii="楷体_GB2312" w:eastAsia="楷体_GB2312"/>
          <w:sz w:val="28"/>
          <w:szCs w:val="28"/>
        </w:rPr>
      </w:pPr>
      <w:r>
        <w:rPr>
          <w:rFonts w:hint="eastAsia" w:ascii="楷体_GB2312" w:eastAsia="楷体_GB2312"/>
          <w:sz w:val="28"/>
          <w:szCs w:val="28"/>
        </w:rPr>
        <w:t>（二）国际或国外同类标准</w:t>
      </w:r>
    </w:p>
    <w:p w14:paraId="51426ECD">
      <w:pPr>
        <w:ind w:firstLine="560"/>
        <w:jc w:val="both"/>
        <w:rPr>
          <w:rFonts w:hint="eastAsia"/>
          <w:sz w:val="28"/>
          <w:szCs w:val="28"/>
        </w:rPr>
      </w:pPr>
      <w:r>
        <w:rPr>
          <w:rFonts w:hint="eastAsia"/>
          <w:sz w:val="28"/>
          <w:szCs w:val="28"/>
        </w:rPr>
        <w:t>国际层面虽无小杂粮网络交易专项标准，但形成了通用食品电商相关基础规范。联合国粮农组织（FAO）与世界卫生组织（WHO）联合制定的《食品法典》（CAC），明确了食品标签、污染物限量、卫生要求等通用标准，其标签规范要求清晰标注产品名称、成分、生产日期等信息，避免消费者误解，为网络交易中的信息披露提供了国际基准。联合国欧洲经济委员会（UNECE）也推出了农产品电子合格认证相关工具，规范跨境电商中的质量验证流程。</w:t>
      </w:r>
    </w:p>
    <w:p w14:paraId="42D4E77F">
      <w:pPr>
        <w:ind w:firstLine="560"/>
        <w:jc w:val="both"/>
        <w:rPr>
          <w:rFonts w:hint="eastAsia"/>
          <w:sz w:val="28"/>
          <w:szCs w:val="28"/>
        </w:rPr>
      </w:pPr>
      <w:r>
        <w:rPr>
          <w:rFonts w:hint="eastAsia"/>
          <w:sz w:val="28"/>
          <w:szCs w:val="28"/>
        </w:rPr>
        <w:t>发达国家多通过“通用法规+行业自律”规范农产品电商交易。美国、欧盟等聚焦食品安全核心，在电商交易中严格执行食品标签法、污染物限量标准，重点管控产品安全与信息真实性。印度、澳大利亚等农产品出口大国，通过明确电商流通中的质量参数、包装要求，保障产品跨境交易中的品质稳定性，其“安全底线+流通适配”的规范思路具有较强参考价值。</w:t>
      </w:r>
    </w:p>
    <w:p w14:paraId="0264E724">
      <w:pPr>
        <w:pStyle w:val="2"/>
        <w:ind w:firstLine="0" w:firstLineChars="0"/>
      </w:pPr>
      <w:r>
        <w:rPr>
          <w:rFonts w:hint="eastAsia"/>
        </w:rPr>
        <w:t>八、推广实施</w:t>
      </w:r>
    </w:p>
    <w:p w14:paraId="7C163166">
      <w:pPr>
        <w:ind w:firstLine="560"/>
        <w:rPr>
          <w:sz w:val="28"/>
          <w:szCs w:val="28"/>
        </w:rPr>
      </w:pPr>
      <w:r>
        <w:rPr>
          <w:rFonts w:hint="eastAsia"/>
          <w:sz w:val="28"/>
          <w:szCs w:val="28"/>
        </w:rPr>
        <w:t>推广准格尔糜米龙头企业+合作社+农户标准化种植模式，实行产、供、销一条龙的产业化服务，重点打造优质糜米标准化生产基地，提升准格尔糜米产业综合竞争力，充分利用广播、电视、网络、报刊等渠道进行产品推广，加强品牌建设，提升企业收益，提高农民经济收入。</w:t>
      </w:r>
    </w:p>
    <w:p w14:paraId="28AEBE0B">
      <w:pPr>
        <w:pStyle w:val="2"/>
        <w:ind w:firstLine="0" w:firstLineChars="0"/>
      </w:pPr>
      <w:r>
        <w:rPr>
          <w:rFonts w:hint="eastAsia"/>
        </w:rPr>
        <w:t>九、专家意见情况汇总表</w:t>
      </w:r>
    </w:p>
    <w:p w14:paraId="11EED873">
      <w:pPr>
        <w:ind w:firstLine="0" w:firstLineChars="0"/>
        <w:jc w:val="center"/>
        <w:rPr>
          <w:rFonts w:ascii="黑体" w:hAnsi="黑体" w:eastAsia="黑体"/>
          <w:bCs/>
          <w:color w:val="000000" w:themeColor="text1"/>
          <w:kern w:val="44"/>
          <w:sz w:val="20"/>
          <w:szCs w:val="20"/>
          <w14:textFill>
            <w14:solidFill>
              <w14:schemeClr w14:val="tx1"/>
            </w14:solidFill>
          </w14:textFill>
        </w:rPr>
      </w:pPr>
      <w:r>
        <w:rPr>
          <w:rFonts w:hint="eastAsia" w:ascii="黑体" w:hAnsi="黑体" w:eastAsia="黑体"/>
          <w:bCs/>
          <w:color w:val="000000" w:themeColor="text1"/>
          <w:kern w:val="44"/>
          <w:sz w:val="20"/>
          <w:szCs w:val="20"/>
          <w14:textFill>
            <w14:solidFill>
              <w14:schemeClr w14:val="tx1"/>
            </w14:solidFill>
          </w14:textFill>
        </w:rPr>
        <w:t>表</w:t>
      </w:r>
      <w:r>
        <w:rPr>
          <w:rFonts w:hint="eastAsia" w:ascii="黑体" w:hAnsi="黑体" w:eastAsia="黑体"/>
          <w:bCs/>
          <w:color w:val="000000" w:themeColor="text1"/>
          <w:kern w:val="44"/>
          <w:sz w:val="20"/>
          <w:szCs w:val="20"/>
          <w:lang w:val="en-US" w:eastAsia="zh-CN"/>
          <w14:textFill>
            <w14:solidFill>
              <w14:schemeClr w14:val="tx1"/>
            </w14:solidFill>
          </w14:textFill>
        </w:rPr>
        <w:t>1</w:t>
      </w:r>
      <w:r>
        <w:rPr>
          <w:rFonts w:hint="eastAsia" w:ascii="黑体" w:hAnsi="黑体" w:eastAsia="黑体"/>
          <w:bCs/>
          <w:color w:val="000000" w:themeColor="text1"/>
          <w:kern w:val="44"/>
          <w:sz w:val="20"/>
          <w:szCs w:val="20"/>
          <w14:textFill>
            <w14:solidFill>
              <w14:schemeClr w14:val="tx1"/>
            </w14:solidFill>
          </w14:textFill>
        </w:rPr>
        <w:t xml:space="preserve">  研讨会专家意见表</w:t>
      </w:r>
    </w:p>
    <w:tbl>
      <w:tblPr>
        <w:tblStyle w:val="29"/>
        <w:tblW w:w="550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5"/>
        <w:gridCol w:w="5456"/>
        <w:gridCol w:w="1981"/>
        <w:gridCol w:w="1049"/>
      </w:tblGrid>
      <w:tr w14:paraId="789F2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477" w:type="pct"/>
            <w:vAlign w:val="center"/>
          </w:tcPr>
          <w:p w14:paraId="74C3E871">
            <w:pPr>
              <w:spacing w:line="240" w:lineRule="exact"/>
              <w:ind w:firstLine="0" w:firstLineChars="0"/>
              <w:jc w:val="center"/>
              <w:rPr>
                <w:rFonts w:ascii="宋体" w:hAnsi="宋体" w:eastAsia="宋体"/>
                <w:b/>
                <w:bCs/>
                <w:kern w:val="0"/>
                <w:sz w:val="21"/>
                <w:szCs w:val="21"/>
              </w:rPr>
            </w:pPr>
            <w:r>
              <w:rPr>
                <w:rFonts w:hint="eastAsia" w:ascii="宋体" w:hAnsi="宋体" w:eastAsia="宋体"/>
                <w:b/>
                <w:bCs/>
                <w:kern w:val="0"/>
                <w:sz w:val="21"/>
                <w:szCs w:val="21"/>
              </w:rPr>
              <w:t>序 号</w:t>
            </w:r>
          </w:p>
        </w:tc>
        <w:tc>
          <w:tcPr>
            <w:tcW w:w="2908" w:type="pct"/>
            <w:vAlign w:val="center"/>
          </w:tcPr>
          <w:p w14:paraId="26F377FF">
            <w:pPr>
              <w:spacing w:line="240" w:lineRule="exact"/>
              <w:ind w:firstLine="0" w:firstLineChars="0"/>
              <w:jc w:val="center"/>
              <w:rPr>
                <w:rFonts w:ascii="宋体" w:hAnsi="宋体" w:eastAsia="宋体"/>
                <w:b/>
                <w:bCs/>
                <w:kern w:val="0"/>
                <w:sz w:val="21"/>
                <w:szCs w:val="21"/>
              </w:rPr>
            </w:pPr>
            <w:r>
              <w:rPr>
                <w:rFonts w:hint="eastAsia" w:ascii="宋体" w:hAnsi="宋体" w:eastAsia="宋体"/>
                <w:b/>
                <w:bCs/>
                <w:kern w:val="0"/>
                <w:sz w:val="21"/>
                <w:szCs w:val="21"/>
              </w:rPr>
              <w:t>意    见</w:t>
            </w:r>
          </w:p>
        </w:tc>
        <w:tc>
          <w:tcPr>
            <w:tcW w:w="1056" w:type="pct"/>
            <w:vAlign w:val="center"/>
          </w:tcPr>
          <w:p w14:paraId="1241D613">
            <w:pPr>
              <w:spacing w:line="240" w:lineRule="exact"/>
              <w:ind w:firstLine="0" w:firstLineChars="0"/>
              <w:jc w:val="center"/>
              <w:rPr>
                <w:rFonts w:ascii="宋体" w:hAnsi="宋体" w:eastAsia="宋体"/>
                <w:b/>
                <w:bCs/>
                <w:kern w:val="0"/>
                <w:sz w:val="21"/>
                <w:szCs w:val="21"/>
              </w:rPr>
            </w:pPr>
            <w:r>
              <w:rPr>
                <w:rFonts w:hint="eastAsia" w:ascii="宋体" w:hAnsi="宋体" w:eastAsia="宋体"/>
                <w:b/>
                <w:bCs/>
                <w:kern w:val="0"/>
                <w:sz w:val="21"/>
                <w:szCs w:val="21"/>
              </w:rPr>
              <w:t>提出单位/专家</w:t>
            </w:r>
          </w:p>
        </w:tc>
        <w:tc>
          <w:tcPr>
            <w:tcW w:w="559" w:type="pct"/>
            <w:vAlign w:val="center"/>
          </w:tcPr>
          <w:p w14:paraId="15687788">
            <w:pPr>
              <w:spacing w:line="240" w:lineRule="exact"/>
              <w:ind w:firstLine="0" w:firstLineChars="0"/>
              <w:jc w:val="center"/>
              <w:rPr>
                <w:rFonts w:ascii="宋体" w:hAnsi="宋体" w:eastAsia="宋体"/>
                <w:b/>
                <w:bCs/>
                <w:kern w:val="0"/>
                <w:sz w:val="21"/>
                <w:szCs w:val="21"/>
              </w:rPr>
            </w:pPr>
            <w:r>
              <w:rPr>
                <w:rFonts w:hint="eastAsia" w:ascii="宋体" w:hAnsi="宋体" w:eastAsia="宋体"/>
                <w:b/>
                <w:bCs/>
                <w:kern w:val="0"/>
                <w:sz w:val="21"/>
                <w:szCs w:val="21"/>
              </w:rPr>
              <w:t>采纳</w:t>
            </w:r>
          </w:p>
        </w:tc>
      </w:tr>
      <w:tr w14:paraId="607E4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477" w:type="pct"/>
            <w:vAlign w:val="center"/>
          </w:tcPr>
          <w:p w14:paraId="1D66670D">
            <w:pPr>
              <w:spacing w:before="312" w:after="156" w:line="240" w:lineRule="exact"/>
              <w:ind w:firstLine="0" w:firstLineChars="0"/>
              <w:jc w:val="center"/>
              <w:rPr>
                <w:kern w:val="0"/>
                <w:sz w:val="21"/>
                <w:szCs w:val="21"/>
              </w:rPr>
            </w:pPr>
          </w:p>
        </w:tc>
        <w:tc>
          <w:tcPr>
            <w:tcW w:w="2908" w:type="pct"/>
            <w:vAlign w:val="center"/>
          </w:tcPr>
          <w:p w14:paraId="07720E72">
            <w:pPr>
              <w:spacing w:line="240" w:lineRule="exact"/>
              <w:ind w:firstLine="0" w:firstLineChars="0"/>
              <w:rPr>
                <w:color w:val="000000" w:themeColor="text1"/>
                <w:kern w:val="0"/>
                <w:sz w:val="21"/>
                <w:szCs w:val="21"/>
                <w14:textFill>
                  <w14:solidFill>
                    <w14:schemeClr w14:val="tx1"/>
                  </w14:solidFill>
                </w14:textFill>
              </w:rPr>
            </w:pPr>
          </w:p>
        </w:tc>
        <w:tc>
          <w:tcPr>
            <w:tcW w:w="1056" w:type="pct"/>
            <w:vAlign w:val="center"/>
          </w:tcPr>
          <w:p w14:paraId="1AD96E05">
            <w:pPr>
              <w:spacing w:line="240" w:lineRule="exact"/>
              <w:ind w:firstLine="0" w:firstLineChars="0"/>
              <w:jc w:val="center"/>
              <w:rPr>
                <w:kern w:val="0"/>
                <w:sz w:val="21"/>
                <w:szCs w:val="21"/>
              </w:rPr>
            </w:pPr>
          </w:p>
        </w:tc>
        <w:tc>
          <w:tcPr>
            <w:tcW w:w="559" w:type="pct"/>
            <w:vAlign w:val="center"/>
          </w:tcPr>
          <w:p w14:paraId="512EAE2A">
            <w:pPr>
              <w:spacing w:line="240" w:lineRule="exact"/>
              <w:ind w:firstLine="0" w:firstLineChars="0"/>
              <w:jc w:val="center"/>
              <w:rPr>
                <w:kern w:val="0"/>
                <w:sz w:val="21"/>
                <w:szCs w:val="21"/>
              </w:rPr>
            </w:pPr>
          </w:p>
        </w:tc>
      </w:tr>
      <w:tr w14:paraId="12DEB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477" w:type="pct"/>
            <w:vAlign w:val="center"/>
          </w:tcPr>
          <w:p w14:paraId="4F396B18">
            <w:pPr>
              <w:spacing w:before="312" w:after="156" w:line="240" w:lineRule="exact"/>
              <w:ind w:firstLine="0" w:firstLineChars="0"/>
              <w:jc w:val="center"/>
              <w:rPr>
                <w:kern w:val="0"/>
                <w:sz w:val="21"/>
                <w:szCs w:val="21"/>
              </w:rPr>
            </w:pPr>
          </w:p>
        </w:tc>
        <w:tc>
          <w:tcPr>
            <w:tcW w:w="2908" w:type="pct"/>
            <w:vAlign w:val="center"/>
          </w:tcPr>
          <w:p w14:paraId="0DB41248">
            <w:pPr>
              <w:spacing w:line="240" w:lineRule="exact"/>
              <w:ind w:firstLine="0" w:firstLineChars="0"/>
              <w:rPr>
                <w:color w:val="000000" w:themeColor="text1"/>
                <w:kern w:val="0"/>
                <w:sz w:val="21"/>
                <w:szCs w:val="21"/>
                <w14:textFill>
                  <w14:solidFill>
                    <w14:schemeClr w14:val="tx1"/>
                  </w14:solidFill>
                </w14:textFill>
              </w:rPr>
            </w:pPr>
          </w:p>
        </w:tc>
        <w:tc>
          <w:tcPr>
            <w:tcW w:w="1056" w:type="pct"/>
            <w:vAlign w:val="center"/>
          </w:tcPr>
          <w:p w14:paraId="655E8F3F">
            <w:pPr>
              <w:spacing w:line="240" w:lineRule="exact"/>
              <w:ind w:firstLine="0" w:firstLineChars="0"/>
              <w:jc w:val="center"/>
              <w:rPr>
                <w:kern w:val="0"/>
                <w:sz w:val="21"/>
                <w:szCs w:val="21"/>
              </w:rPr>
            </w:pPr>
          </w:p>
        </w:tc>
        <w:tc>
          <w:tcPr>
            <w:tcW w:w="559" w:type="pct"/>
            <w:vAlign w:val="center"/>
          </w:tcPr>
          <w:p w14:paraId="79FE9DC8">
            <w:pPr>
              <w:spacing w:line="240" w:lineRule="exact"/>
              <w:ind w:firstLine="0" w:firstLineChars="0"/>
              <w:jc w:val="center"/>
              <w:rPr>
                <w:kern w:val="0"/>
                <w:sz w:val="21"/>
                <w:szCs w:val="21"/>
              </w:rPr>
            </w:pPr>
          </w:p>
        </w:tc>
      </w:tr>
      <w:tr w14:paraId="710A5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477" w:type="pct"/>
            <w:vAlign w:val="center"/>
          </w:tcPr>
          <w:p w14:paraId="3F9C6C87">
            <w:pPr>
              <w:spacing w:before="312" w:after="156" w:line="240" w:lineRule="exact"/>
              <w:ind w:firstLine="0" w:firstLineChars="0"/>
              <w:jc w:val="center"/>
              <w:rPr>
                <w:kern w:val="0"/>
                <w:sz w:val="21"/>
                <w:szCs w:val="21"/>
              </w:rPr>
            </w:pPr>
          </w:p>
        </w:tc>
        <w:tc>
          <w:tcPr>
            <w:tcW w:w="2908" w:type="pct"/>
            <w:vAlign w:val="center"/>
          </w:tcPr>
          <w:p w14:paraId="17F3AD52">
            <w:pPr>
              <w:spacing w:line="240" w:lineRule="exact"/>
              <w:ind w:firstLine="0" w:firstLineChars="0"/>
              <w:rPr>
                <w:color w:val="000000" w:themeColor="text1"/>
                <w:kern w:val="0"/>
                <w:sz w:val="21"/>
                <w:szCs w:val="21"/>
                <w14:textFill>
                  <w14:solidFill>
                    <w14:schemeClr w14:val="tx1"/>
                  </w14:solidFill>
                </w14:textFill>
              </w:rPr>
            </w:pPr>
          </w:p>
        </w:tc>
        <w:tc>
          <w:tcPr>
            <w:tcW w:w="1056" w:type="pct"/>
            <w:vAlign w:val="center"/>
          </w:tcPr>
          <w:p w14:paraId="63D6CB48">
            <w:pPr>
              <w:spacing w:line="240" w:lineRule="exact"/>
              <w:ind w:firstLine="0" w:firstLineChars="0"/>
              <w:jc w:val="center"/>
              <w:rPr>
                <w:kern w:val="0"/>
                <w:sz w:val="21"/>
                <w:szCs w:val="21"/>
              </w:rPr>
            </w:pPr>
          </w:p>
        </w:tc>
        <w:tc>
          <w:tcPr>
            <w:tcW w:w="559" w:type="pct"/>
            <w:vAlign w:val="center"/>
          </w:tcPr>
          <w:p w14:paraId="6F783B92">
            <w:pPr>
              <w:spacing w:line="240" w:lineRule="exact"/>
              <w:ind w:firstLine="0" w:firstLineChars="0"/>
              <w:jc w:val="center"/>
              <w:rPr>
                <w:kern w:val="0"/>
                <w:sz w:val="21"/>
                <w:szCs w:val="21"/>
              </w:rPr>
            </w:pPr>
          </w:p>
        </w:tc>
      </w:tr>
      <w:tr w14:paraId="04138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477" w:type="pct"/>
            <w:vAlign w:val="center"/>
          </w:tcPr>
          <w:p w14:paraId="4A56F00F">
            <w:pPr>
              <w:spacing w:before="312" w:after="156" w:line="240" w:lineRule="exact"/>
              <w:ind w:firstLine="0" w:firstLineChars="0"/>
              <w:jc w:val="center"/>
              <w:rPr>
                <w:kern w:val="0"/>
                <w:sz w:val="21"/>
                <w:szCs w:val="21"/>
              </w:rPr>
            </w:pPr>
          </w:p>
        </w:tc>
        <w:tc>
          <w:tcPr>
            <w:tcW w:w="2908" w:type="pct"/>
            <w:vAlign w:val="center"/>
          </w:tcPr>
          <w:p w14:paraId="6391701A">
            <w:pPr>
              <w:spacing w:line="240" w:lineRule="exact"/>
              <w:ind w:firstLine="0" w:firstLineChars="0"/>
              <w:rPr>
                <w:color w:val="000000" w:themeColor="text1"/>
                <w:kern w:val="0"/>
                <w:sz w:val="21"/>
                <w:szCs w:val="21"/>
                <w14:textFill>
                  <w14:solidFill>
                    <w14:schemeClr w14:val="tx1"/>
                  </w14:solidFill>
                </w14:textFill>
              </w:rPr>
            </w:pPr>
          </w:p>
        </w:tc>
        <w:tc>
          <w:tcPr>
            <w:tcW w:w="1056" w:type="pct"/>
            <w:vAlign w:val="center"/>
          </w:tcPr>
          <w:p w14:paraId="505B22EA">
            <w:pPr>
              <w:spacing w:line="240" w:lineRule="exact"/>
              <w:ind w:firstLine="0" w:firstLineChars="0"/>
              <w:jc w:val="center"/>
              <w:rPr>
                <w:kern w:val="0"/>
                <w:sz w:val="21"/>
                <w:szCs w:val="21"/>
              </w:rPr>
            </w:pPr>
          </w:p>
        </w:tc>
        <w:tc>
          <w:tcPr>
            <w:tcW w:w="559" w:type="pct"/>
            <w:vAlign w:val="center"/>
          </w:tcPr>
          <w:p w14:paraId="1922663A">
            <w:pPr>
              <w:spacing w:line="240" w:lineRule="exact"/>
              <w:ind w:firstLine="0" w:firstLineChars="0"/>
              <w:jc w:val="center"/>
              <w:rPr>
                <w:kern w:val="0"/>
                <w:sz w:val="21"/>
                <w:szCs w:val="21"/>
              </w:rPr>
            </w:pPr>
          </w:p>
        </w:tc>
      </w:tr>
      <w:tr w14:paraId="538E3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477" w:type="pct"/>
            <w:vAlign w:val="center"/>
          </w:tcPr>
          <w:p w14:paraId="3CD102E9">
            <w:pPr>
              <w:spacing w:before="312" w:after="156" w:line="240" w:lineRule="exact"/>
              <w:ind w:firstLine="0" w:firstLineChars="0"/>
              <w:jc w:val="center"/>
              <w:rPr>
                <w:kern w:val="0"/>
                <w:sz w:val="21"/>
                <w:szCs w:val="21"/>
              </w:rPr>
            </w:pPr>
          </w:p>
        </w:tc>
        <w:tc>
          <w:tcPr>
            <w:tcW w:w="2908" w:type="pct"/>
            <w:vAlign w:val="center"/>
          </w:tcPr>
          <w:p w14:paraId="55ED571B">
            <w:pPr>
              <w:spacing w:line="240" w:lineRule="exact"/>
              <w:ind w:firstLine="0" w:firstLineChars="0"/>
              <w:rPr>
                <w:color w:val="000000" w:themeColor="text1"/>
                <w:kern w:val="0"/>
                <w:sz w:val="21"/>
                <w:szCs w:val="21"/>
                <w14:textFill>
                  <w14:solidFill>
                    <w14:schemeClr w14:val="tx1"/>
                  </w14:solidFill>
                </w14:textFill>
              </w:rPr>
            </w:pPr>
          </w:p>
        </w:tc>
        <w:tc>
          <w:tcPr>
            <w:tcW w:w="1056" w:type="pct"/>
            <w:vAlign w:val="center"/>
          </w:tcPr>
          <w:p w14:paraId="4A7C4DA0">
            <w:pPr>
              <w:spacing w:line="240" w:lineRule="exact"/>
              <w:ind w:firstLine="0" w:firstLineChars="0"/>
              <w:jc w:val="center"/>
              <w:rPr>
                <w:kern w:val="0"/>
                <w:sz w:val="21"/>
                <w:szCs w:val="21"/>
              </w:rPr>
            </w:pPr>
          </w:p>
        </w:tc>
        <w:tc>
          <w:tcPr>
            <w:tcW w:w="559" w:type="pct"/>
            <w:vAlign w:val="center"/>
          </w:tcPr>
          <w:p w14:paraId="2898640E">
            <w:pPr>
              <w:spacing w:line="240" w:lineRule="exact"/>
              <w:ind w:firstLine="0" w:firstLineChars="0"/>
              <w:jc w:val="center"/>
              <w:rPr>
                <w:kern w:val="0"/>
                <w:sz w:val="21"/>
                <w:szCs w:val="21"/>
              </w:rPr>
            </w:pPr>
          </w:p>
        </w:tc>
      </w:tr>
      <w:tr w14:paraId="283D2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477" w:type="pct"/>
            <w:vAlign w:val="center"/>
          </w:tcPr>
          <w:p w14:paraId="309E5A8B">
            <w:pPr>
              <w:spacing w:before="312" w:after="156" w:line="240" w:lineRule="exact"/>
              <w:ind w:firstLine="0" w:firstLineChars="0"/>
              <w:jc w:val="center"/>
              <w:rPr>
                <w:kern w:val="0"/>
                <w:sz w:val="21"/>
                <w:szCs w:val="21"/>
              </w:rPr>
            </w:pPr>
          </w:p>
        </w:tc>
        <w:tc>
          <w:tcPr>
            <w:tcW w:w="2908" w:type="pct"/>
            <w:vAlign w:val="center"/>
          </w:tcPr>
          <w:p w14:paraId="35AF1E2D">
            <w:pPr>
              <w:spacing w:line="240" w:lineRule="exact"/>
              <w:ind w:firstLine="0" w:firstLineChars="0"/>
              <w:rPr>
                <w:color w:val="000000" w:themeColor="text1"/>
                <w:kern w:val="0"/>
                <w:sz w:val="21"/>
                <w:szCs w:val="21"/>
                <w14:textFill>
                  <w14:solidFill>
                    <w14:schemeClr w14:val="tx1"/>
                  </w14:solidFill>
                </w14:textFill>
              </w:rPr>
            </w:pPr>
          </w:p>
        </w:tc>
        <w:tc>
          <w:tcPr>
            <w:tcW w:w="1056" w:type="pct"/>
            <w:vAlign w:val="center"/>
          </w:tcPr>
          <w:p w14:paraId="404EBB11">
            <w:pPr>
              <w:spacing w:line="240" w:lineRule="exact"/>
              <w:ind w:firstLine="0" w:firstLineChars="0"/>
              <w:jc w:val="center"/>
              <w:rPr>
                <w:kern w:val="0"/>
                <w:sz w:val="21"/>
                <w:szCs w:val="21"/>
              </w:rPr>
            </w:pPr>
          </w:p>
        </w:tc>
        <w:tc>
          <w:tcPr>
            <w:tcW w:w="559" w:type="pct"/>
            <w:vAlign w:val="center"/>
          </w:tcPr>
          <w:p w14:paraId="1B8615C1">
            <w:pPr>
              <w:spacing w:line="240" w:lineRule="exact"/>
              <w:ind w:firstLine="0" w:firstLineChars="0"/>
              <w:jc w:val="center"/>
              <w:rPr>
                <w:kern w:val="0"/>
                <w:sz w:val="21"/>
                <w:szCs w:val="21"/>
              </w:rPr>
            </w:pPr>
          </w:p>
        </w:tc>
      </w:tr>
      <w:tr w14:paraId="50F92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6" w:hRule="atLeast"/>
          <w:jc w:val="center"/>
        </w:trPr>
        <w:tc>
          <w:tcPr>
            <w:tcW w:w="477" w:type="pct"/>
            <w:vAlign w:val="center"/>
          </w:tcPr>
          <w:p w14:paraId="6350F9E2">
            <w:pPr>
              <w:spacing w:before="312" w:after="156" w:line="240" w:lineRule="exact"/>
              <w:ind w:firstLine="0" w:firstLineChars="0"/>
              <w:jc w:val="center"/>
              <w:rPr>
                <w:kern w:val="0"/>
                <w:sz w:val="21"/>
                <w:szCs w:val="21"/>
              </w:rPr>
            </w:pPr>
          </w:p>
        </w:tc>
        <w:tc>
          <w:tcPr>
            <w:tcW w:w="2908" w:type="pct"/>
            <w:vAlign w:val="center"/>
          </w:tcPr>
          <w:p w14:paraId="213B21F5">
            <w:pPr>
              <w:spacing w:line="240" w:lineRule="exact"/>
              <w:ind w:firstLine="0" w:firstLineChars="0"/>
              <w:rPr>
                <w:color w:val="000000" w:themeColor="text1"/>
                <w:kern w:val="0"/>
                <w:sz w:val="21"/>
                <w:szCs w:val="21"/>
                <w14:textFill>
                  <w14:solidFill>
                    <w14:schemeClr w14:val="tx1"/>
                  </w14:solidFill>
                </w14:textFill>
              </w:rPr>
            </w:pPr>
          </w:p>
        </w:tc>
        <w:tc>
          <w:tcPr>
            <w:tcW w:w="1056" w:type="pct"/>
            <w:vAlign w:val="center"/>
          </w:tcPr>
          <w:p w14:paraId="70417342">
            <w:pPr>
              <w:spacing w:line="240" w:lineRule="exact"/>
              <w:ind w:firstLine="0" w:firstLineChars="0"/>
              <w:jc w:val="center"/>
              <w:rPr>
                <w:kern w:val="0"/>
                <w:sz w:val="21"/>
                <w:szCs w:val="21"/>
              </w:rPr>
            </w:pPr>
          </w:p>
        </w:tc>
        <w:tc>
          <w:tcPr>
            <w:tcW w:w="559" w:type="pct"/>
            <w:vAlign w:val="center"/>
          </w:tcPr>
          <w:p w14:paraId="614CD6C0">
            <w:pPr>
              <w:spacing w:line="240" w:lineRule="exact"/>
              <w:ind w:firstLine="0" w:firstLineChars="0"/>
              <w:jc w:val="center"/>
              <w:rPr>
                <w:kern w:val="0"/>
                <w:sz w:val="21"/>
                <w:szCs w:val="21"/>
              </w:rPr>
            </w:pPr>
          </w:p>
        </w:tc>
      </w:tr>
      <w:tr w14:paraId="05B35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477" w:type="pct"/>
            <w:vAlign w:val="center"/>
          </w:tcPr>
          <w:p w14:paraId="20C247E4">
            <w:pPr>
              <w:spacing w:before="312" w:after="156" w:line="240" w:lineRule="exact"/>
              <w:ind w:firstLine="0" w:firstLineChars="0"/>
              <w:jc w:val="center"/>
              <w:rPr>
                <w:kern w:val="0"/>
                <w:sz w:val="21"/>
                <w:szCs w:val="21"/>
              </w:rPr>
            </w:pPr>
          </w:p>
        </w:tc>
        <w:tc>
          <w:tcPr>
            <w:tcW w:w="2908" w:type="pct"/>
            <w:vAlign w:val="center"/>
          </w:tcPr>
          <w:p w14:paraId="70FB2281">
            <w:pPr>
              <w:spacing w:line="240" w:lineRule="exact"/>
              <w:ind w:firstLine="0" w:firstLineChars="0"/>
              <w:rPr>
                <w:color w:val="000000" w:themeColor="text1"/>
                <w:kern w:val="0"/>
                <w:sz w:val="21"/>
                <w:szCs w:val="21"/>
                <w14:textFill>
                  <w14:solidFill>
                    <w14:schemeClr w14:val="tx1"/>
                  </w14:solidFill>
                </w14:textFill>
              </w:rPr>
            </w:pPr>
          </w:p>
        </w:tc>
        <w:tc>
          <w:tcPr>
            <w:tcW w:w="1056" w:type="pct"/>
            <w:vAlign w:val="center"/>
          </w:tcPr>
          <w:p w14:paraId="45A5ACCB">
            <w:pPr>
              <w:spacing w:line="240" w:lineRule="exact"/>
              <w:ind w:firstLine="0" w:firstLineChars="0"/>
              <w:jc w:val="center"/>
              <w:rPr>
                <w:kern w:val="0"/>
                <w:sz w:val="21"/>
                <w:szCs w:val="21"/>
              </w:rPr>
            </w:pPr>
          </w:p>
        </w:tc>
        <w:tc>
          <w:tcPr>
            <w:tcW w:w="559" w:type="pct"/>
            <w:vAlign w:val="center"/>
          </w:tcPr>
          <w:p w14:paraId="0A03246F">
            <w:pPr>
              <w:spacing w:line="240" w:lineRule="exact"/>
              <w:ind w:firstLine="0" w:firstLineChars="0"/>
              <w:jc w:val="center"/>
              <w:rPr>
                <w:kern w:val="0"/>
                <w:sz w:val="21"/>
                <w:szCs w:val="21"/>
              </w:rPr>
            </w:pPr>
          </w:p>
        </w:tc>
      </w:tr>
    </w:tbl>
    <w:p w14:paraId="52014644">
      <w:pPr>
        <w:ind w:firstLine="0" w:firstLineChars="0"/>
        <w:jc w:val="center"/>
        <w:rPr>
          <w:rFonts w:ascii="黑体" w:hAnsi="黑体" w:eastAsia="黑体"/>
          <w:bCs/>
          <w:color w:val="000000" w:themeColor="text1"/>
          <w:kern w:val="44"/>
          <w:sz w:val="20"/>
          <w:szCs w:val="20"/>
          <w14:textFill>
            <w14:solidFill>
              <w14:schemeClr w14:val="tx1"/>
            </w14:solidFill>
          </w14:textFill>
        </w:rPr>
      </w:pPr>
      <w:r>
        <w:rPr>
          <w:rFonts w:hint="eastAsia" w:ascii="黑体" w:hAnsi="黑体" w:eastAsia="黑体"/>
          <w:bCs/>
          <w:color w:val="000000" w:themeColor="text1"/>
          <w:kern w:val="44"/>
          <w:sz w:val="20"/>
          <w:szCs w:val="20"/>
          <w14:textFill>
            <w14:solidFill>
              <w14:schemeClr w14:val="tx1"/>
            </w14:solidFill>
          </w14:textFill>
        </w:rPr>
        <w:t>表</w:t>
      </w:r>
      <w:r>
        <w:rPr>
          <w:rFonts w:hint="eastAsia" w:ascii="黑体" w:hAnsi="黑体" w:eastAsia="黑体"/>
          <w:bCs/>
          <w:color w:val="000000" w:themeColor="text1"/>
          <w:kern w:val="44"/>
          <w:sz w:val="20"/>
          <w:szCs w:val="20"/>
          <w:lang w:val="en-US" w:eastAsia="zh-CN"/>
          <w14:textFill>
            <w14:solidFill>
              <w14:schemeClr w14:val="tx1"/>
            </w14:solidFill>
          </w14:textFill>
        </w:rPr>
        <w:t>2</w:t>
      </w:r>
      <w:bookmarkStart w:id="2" w:name="_GoBack"/>
      <w:bookmarkEnd w:id="2"/>
      <w:r>
        <w:rPr>
          <w:rFonts w:hint="eastAsia" w:ascii="黑体" w:hAnsi="黑体" w:eastAsia="黑体"/>
          <w:bCs/>
          <w:color w:val="000000" w:themeColor="text1"/>
          <w:kern w:val="44"/>
          <w:sz w:val="20"/>
          <w:szCs w:val="20"/>
          <w14:textFill>
            <w14:solidFill>
              <w14:schemeClr w14:val="tx1"/>
            </w14:solidFill>
          </w14:textFill>
        </w:rPr>
        <w:t xml:space="preserve"> 审查会专家意见表</w:t>
      </w:r>
    </w:p>
    <w:tbl>
      <w:tblPr>
        <w:tblStyle w:val="29"/>
        <w:tblW w:w="550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5"/>
        <w:gridCol w:w="5455"/>
        <w:gridCol w:w="1979"/>
        <w:gridCol w:w="1049"/>
      </w:tblGrid>
      <w:tr w14:paraId="2228E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477" w:type="pct"/>
            <w:vAlign w:val="center"/>
          </w:tcPr>
          <w:p w14:paraId="2D5DA6CC">
            <w:pPr>
              <w:spacing w:line="240" w:lineRule="exact"/>
              <w:ind w:firstLine="0" w:firstLineChars="0"/>
              <w:jc w:val="center"/>
              <w:rPr>
                <w:rFonts w:ascii="宋体" w:hAnsi="宋体" w:eastAsia="宋体"/>
                <w:b/>
                <w:bCs/>
                <w:kern w:val="0"/>
                <w:sz w:val="21"/>
                <w:szCs w:val="21"/>
              </w:rPr>
            </w:pPr>
            <w:r>
              <w:rPr>
                <w:rFonts w:hint="eastAsia" w:ascii="宋体" w:hAnsi="宋体" w:eastAsia="宋体"/>
                <w:b/>
                <w:bCs/>
                <w:kern w:val="0"/>
                <w:sz w:val="21"/>
                <w:szCs w:val="21"/>
              </w:rPr>
              <w:t>序 号</w:t>
            </w:r>
          </w:p>
        </w:tc>
        <w:tc>
          <w:tcPr>
            <w:tcW w:w="2908" w:type="pct"/>
            <w:vAlign w:val="center"/>
          </w:tcPr>
          <w:p w14:paraId="2174D66E">
            <w:pPr>
              <w:spacing w:line="240" w:lineRule="exact"/>
              <w:ind w:firstLine="0" w:firstLineChars="0"/>
              <w:jc w:val="center"/>
              <w:rPr>
                <w:rFonts w:ascii="宋体" w:hAnsi="宋体" w:eastAsia="宋体"/>
                <w:b/>
                <w:bCs/>
                <w:kern w:val="0"/>
                <w:sz w:val="21"/>
                <w:szCs w:val="21"/>
              </w:rPr>
            </w:pPr>
            <w:r>
              <w:rPr>
                <w:rFonts w:hint="eastAsia" w:ascii="宋体" w:hAnsi="宋体" w:eastAsia="宋体"/>
                <w:b/>
                <w:bCs/>
                <w:kern w:val="0"/>
                <w:sz w:val="21"/>
                <w:szCs w:val="21"/>
              </w:rPr>
              <w:t>意    见</w:t>
            </w:r>
          </w:p>
        </w:tc>
        <w:tc>
          <w:tcPr>
            <w:tcW w:w="1055" w:type="pct"/>
            <w:vAlign w:val="center"/>
          </w:tcPr>
          <w:p w14:paraId="0E09DE57">
            <w:pPr>
              <w:spacing w:line="240" w:lineRule="exact"/>
              <w:ind w:firstLine="0" w:firstLineChars="0"/>
              <w:jc w:val="center"/>
              <w:rPr>
                <w:rFonts w:ascii="宋体" w:hAnsi="宋体" w:eastAsia="宋体"/>
                <w:b/>
                <w:bCs/>
                <w:kern w:val="0"/>
                <w:sz w:val="21"/>
                <w:szCs w:val="21"/>
              </w:rPr>
            </w:pPr>
            <w:r>
              <w:rPr>
                <w:rFonts w:hint="eastAsia" w:ascii="宋体" w:hAnsi="宋体" w:eastAsia="宋体"/>
                <w:b/>
                <w:bCs/>
                <w:kern w:val="0"/>
                <w:sz w:val="21"/>
                <w:szCs w:val="21"/>
              </w:rPr>
              <w:t>提出单位/专家</w:t>
            </w:r>
          </w:p>
        </w:tc>
        <w:tc>
          <w:tcPr>
            <w:tcW w:w="559" w:type="pct"/>
            <w:vAlign w:val="center"/>
          </w:tcPr>
          <w:p w14:paraId="587BF41A">
            <w:pPr>
              <w:spacing w:line="240" w:lineRule="exact"/>
              <w:ind w:firstLine="0" w:firstLineChars="0"/>
              <w:jc w:val="center"/>
              <w:rPr>
                <w:rFonts w:ascii="宋体" w:hAnsi="宋体" w:eastAsia="宋体"/>
                <w:b/>
                <w:bCs/>
                <w:kern w:val="0"/>
                <w:sz w:val="21"/>
                <w:szCs w:val="21"/>
              </w:rPr>
            </w:pPr>
            <w:r>
              <w:rPr>
                <w:rFonts w:hint="eastAsia" w:ascii="宋体" w:hAnsi="宋体" w:eastAsia="宋体"/>
                <w:b/>
                <w:bCs/>
                <w:kern w:val="0"/>
                <w:sz w:val="21"/>
                <w:szCs w:val="21"/>
              </w:rPr>
              <w:t>采纳</w:t>
            </w:r>
          </w:p>
        </w:tc>
      </w:tr>
      <w:tr w14:paraId="41B06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477" w:type="pct"/>
            <w:vAlign w:val="center"/>
          </w:tcPr>
          <w:p w14:paraId="3C48CF81">
            <w:pPr>
              <w:spacing w:before="312" w:after="156" w:line="240" w:lineRule="exact"/>
              <w:ind w:firstLine="0" w:firstLineChars="0"/>
              <w:jc w:val="center"/>
              <w:rPr>
                <w:kern w:val="0"/>
                <w:sz w:val="21"/>
                <w:szCs w:val="21"/>
              </w:rPr>
            </w:pPr>
          </w:p>
        </w:tc>
        <w:tc>
          <w:tcPr>
            <w:tcW w:w="2908" w:type="pct"/>
            <w:vAlign w:val="center"/>
          </w:tcPr>
          <w:p w14:paraId="11153461">
            <w:pPr>
              <w:spacing w:line="240" w:lineRule="exact"/>
              <w:ind w:firstLine="0" w:firstLineChars="0"/>
              <w:rPr>
                <w:color w:val="000000" w:themeColor="text1"/>
                <w:kern w:val="0"/>
                <w:sz w:val="21"/>
                <w:szCs w:val="21"/>
                <w14:textFill>
                  <w14:solidFill>
                    <w14:schemeClr w14:val="tx1"/>
                  </w14:solidFill>
                </w14:textFill>
              </w:rPr>
            </w:pPr>
          </w:p>
        </w:tc>
        <w:tc>
          <w:tcPr>
            <w:tcW w:w="1055" w:type="pct"/>
            <w:vAlign w:val="center"/>
          </w:tcPr>
          <w:p w14:paraId="1997B830">
            <w:pPr>
              <w:spacing w:line="240" w:lineRule="exact"/>
              <w:ind w:firstLine="0" w:firstLineChars="0"/>
              <w:rPr>
                <w:kern w:val="0"/>
                <w:sz w:val="21"/>
                <w:szCs w:val="21"/>
              </w:rPr>
            </w:pPr>
          </w:p>
        </w:tc>
        <w:tc>
          <w:tcPr>
            <w:tcW w:w="559" w:type="pct"/>
            <w:vAlign w:val="center"/>
          </w:tcPr>
          <w:p w14:paraId="0B0D6437">
            <w:pPr>
              <w:spacing w:line="240" w:lineRule="exact"/>
              <w:ind w:firstLine="0" w:firstLineChars="0"/>
              <w:jc w:val="center"/>
              <w:rPr>
                <w:kern w:val="0"/>
                <w:sz w:val="21"/>
                <w:szCs w:val="21"/>
              </w:rPr>
            </w:pPr>
          </w:p>
        </w:tc>
      </w:tr>
      <w:tr w14:paraId="7515E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477" w:type="pct"/>
            <w:vAlign w:val="center"/>
          </w:tcPr>
          <w:p w14:paraId="4EF63569">
            <w:pPr>
              <w:spacing w:before="312" w:after="156" w:line="240" w:lineRule="exact"/>
              <w:ind w:firstLine="0" w:firstLineChars="0"/>
              <w:jc w:val="center"/>
              <w:rPr>
                <w:kern w:val="0"/>
                <w:sz w:val="21"/>
                <w:szCs w:val="21"/>
              </w:rPr>
            </w:pPr>
          </w:p>
        </w:tc>
        <w:tc>
          <w:tcPr>
            <w:tcW w:w="2908" w:type="pct"/>
            <w:vAlign w:val="center"/>
          </w:tcPr>
          <w:p w14:paraId="7C9B4261">
            <w:pPr>
              <w:spacing w:line="240" w:lineRule="exact"/>
              <w:ind w:firstLine="0" w:firstLineChars="0"/>
              <w:rPr>
                <w:color w:val="000000" w:themeColor="text1"/>
                <w:kern w:val="0"/>
                <w:sz w:val="21"/>
                <w:szCs w:val="21"/>
                <w14:textFill>
                  <w14:solidFill>
                    <w14:schemeClr w14:val="tx1"/>
                  </w14:solidFill>
                </w14:textFill>
              </w:rPr>
            </w:pPr>
          </w:p>
        </w:tc>
        <w:tc>
          <w:tcPr>
            <w:tcW w:w="1055" w:type="pct"/>
            <w:vAlign w:val="center"/>
          </w:tcPr>
          <w:p w14:paraId="664FBC23">
            <w:pPr>
              <w:spacing w:line="240" w:lineRule="exact"/>
              <w:ind w:firstLine="0" w:firstLineChars="0"/>
              <w:rPr>
                <w:kern w:val="0"/>
                <w:sz w:val="21"/>
                <w:szCs w:val="21"/>
              </w:rPr>
            </w:pPr>
          </w:p>
        </w:tc>
        <w:tc>
          <w:tcPr>
            <w:tcW w:w="559" w:type="pct"/>
            <w:vAlign w:val="center"/>
          </w:tcPr>
          <w:p w14:paraId="3AB9F9D3">
            <w:pPr>
              <w:spacing w:line="240" w:lineRule="exact"/>
              <w:ind w:firstLine="0" w:firstLineChars="0"/>
              <w:jc w:val="center"/>
              <w:rPr>
                <w:kern w:val="0"/>
                <w:sz w:val="21"/>
                <w:szCs w:val="21"/>
              </w:rPr>
            </w:pPr>
          </w:p>
        </w:tc>
      </w:tr>
    </w:tbl>
    <w:p w14:paraId="17A688EE">
      <w:pPr>
        <w:ind w:firstLine="0" w:firstLineChars="0"/>
        <w:rPr>
          <w:rFonts w:ascii="黑体" w:hAnsi="黑体" w:eastAsia="黑体"/>
          <w:sz w:val="36"/>
          <w:szCs w:val="36"/>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4090466"/>
      <w:docPartObj>
        <w:docPartGallery w:val="AutoText"/>
      </w:docPartObj>
    </w:sdtPr>
    <w:sdtEndPr>
      <w:rPr>
        <w:rFonts w:ascii="宋体" w:hAnsi="宋体" w:eastAsia="宋体"/>
      </w:rPr>
    </w:sdtEndPr>
    <w:sdtContent>
      <w:p w14:paraId="6F878050">
        <w:pPr>
          <w:pStyle w:val="5"/>
          <w:ind w:firstLine="640"/>
          <w:jc w:val="right"/>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9</w:t>
        </w:r>
        <w:r>
          <w:rPr>
            <w:rFonts w:ascii="宋体" w:hAnsi="宋体" w:eastAsia="宋体"/>
          </w:rPr>
          <w:fldChar w:fldCharType="end"/>
        </w:r>
      </w:p>
    </w:sdtContent>
  </w:sdt>
  <w:p w14:paraId="5AB07C9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B7251">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57B7C">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67A15">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7FD94">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18394">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6260FA"/>
    <w:multiLevelType w:val="multilevel"/>
    <w:tmpl w:val="646260FA"/>
    <w:lvl w:ilvl="0" w:tentative="0">
      <w:start w:val="1"/>
      <w:numFmt w:val="decimal"/>
      <w:pStyle w:val="42"/>
      <w:suff w:val="nothing"/>
      <w:lvlText w:val="表%1　"/>
      <w:lvlJc w:val="left"/>
      <w:pPr>
        <w:ind w:left="4253" w:firstLine="0"/>
      </w:pPr>
    </w:lvl>
    <w:lvl w:ilvl="1" w:tentative="0">
      <w:start w:val="1"/>
      <w:numFmt w:val="decimal"/>
      <w:lvlText w:val="%1.%2"/>
      <w:lvlJc w:val="left"/>
      <w:pPr>
        <w:tabs>
          <w:tab w:val="left" w:pos="142"/>
        </w:tabs>
        <w:ind w:left="142" w:hanging="567"/>
      </w:pPr>
    </w:lvl>
    <w:lvl w:ilvl="2" w:tentative="0">
      <w:start w:val="1"/>
      <w:numFmt w:val="decimal"/>
      <w:lvlText w:val="%1.%2.%3"/>
      <w:lvlJc w:val="left"/>
      <w:pPr>
        <w:tabs>
          <w:tab w:val="left" w:pos="567"/>
        </w:tabs>
        <w:ind w:left="567" w:hanging="567"/>
      </w:pPr>
    </w:lvl>
    <w:lvl w:ilvl="3" w:tentative="0">
      <w:start w:val="1"/>
      <w:numFmt w:val="decimal"/>
      <w:lvlText w:val="%1.%2.%3.%4"/>
      <w:lvlJc w:val="left"/>
      <w:pPr>
        <w:tabs>
          <w:tab w:val="left" w:pos="1134"/>
        </w:tabs>
        <w:ind w:left="1134" w:hanging="708"/>
      </w:pPr>
    </w:lvl>
    <w:lvl w:ilvl="4" w:tentative="0">
      <w:start w:val="1"/>
      <w:numFmt w:val="decimal"/>
      <w:lvlText w:val="%1.%2.%3.%4.%5"/>
      <w:lvlJc w:val="left"/>
      <w:pPr>
        <w:tabs>
          <w:tab w:val="left" w:pos="1701"/>
        </w:tabs>
        <w:ind w:left="1701" w:hanging="850"/>
      </w:pPr>
    </w:lvl>
    <w:lvl w:ilvl="5" w:tentative="0">
      <w:start w:val="1"/>
      <w:numFmt w:val="decimal"/>
      <w:lvlText w:val="%1.%2.%3.%4.%5.%6"/>
      <w:lvlJc w:val="left"/>
      <w:pPr>
        <w:tabs>
          <w:tab w:val="left" w:pos="2410"/>
        </w:tabs>
        <w:ind w:left="2410" w:hanging="1134"/>
      </w:pPr>
    </w:lvl>
    <w:lvl w:ilvl="6" w:tentative="0">
      <w:start w:val="1"/>
      <w:numFmt w:val="decimal"/>
      <w:lvlText w:val="%1.%2.%3.%4.%5.%6.%7"/>
      <w:lvlJc w:val="left"/>
      <w:pPr>
        <w:tabs>
          <w:tab w:val="left" w:pos="2977"/>
        </w:tabs>
        <w:ind w:left="2977" w:hanging="1276"/>
      </w:pPr>
    </w:lvl>
    <w:lvl w:ilvl="7" w:tentative="0">
      <w:start w:val="1"/>
      <w:numFmt w:val="decimal"/>
      <w:lvlText w:val="%1.%2.%3.%4.%5.%6.%7.%8"/>
      <w:lvlJc w:val="left"/>
      <w:pPr>
        <w:tabs>
          <w:tab w:val="left" w:pos="3544"/>
        </w:tabs>
        <w:ind w:left="3544" w:hanging="1418"/>
      </w:pPr>
    </w:lvl>
    <w:lvl w:ilvl="8" w:tentative="0">
      <w:start w:val="1"/>
      <w:numFmt w:val="decimal"/>
      <w:lvlText w:val="%1.%2.%3.%4.%5.%6.%7.%8.%9"/>
      <w:lvlJc w:val="left"/>
      <w:pPr>
        <w:tabs>
          <w:tab w:val="left" w:pos="4252"/>
        </w:tabs>
        <w:ind w:left="4252" w:hanging="1700"/>
      </w:pPr>
    </w:lvl>
  </w:abstractNum>
  <w:abstractNum w:abstractNumId="1">
    <w:nsid w:val="6CEA2025"/>
    <w:multiLevelType w:val="multilevel"/>
    <w:tmpl w:val="6CEA2025"/>
    <w:lvl w:ilvl="0" w:tentative="0">
      <w:start w:val="1"/>
      <w:numFmt w:val="none"/>
      <w:pStyle w:val="28"/>
      <w:suff w:val="nothing"/>
      <w:lvlText w:val="%1"/>
      <w:lvlJc w:val="left"/>
      <w:pPr>
        <w:ind w:left="0" w:firstLine="0"/>
      </w:pPr>
      <w:rPr>
        <w:rFonts w:hint="eastAsia"/>
      </w:rPr>
    </w:lvl>
    <w:lvl w:ilvl="1" w:tentative="0">
      <w:start w:val="1"/>
      <w:numFmt w:val="decimal"/>
      <w:pStyle w:val="26"/>
      <w:suff w:val="nothing"/>
      <w:lvlText w:val="%1%2　"/>
      <w:lvlJc w:val="left"/>
      <w:pPr>
        <w:ind w:left="0" w:firstLine="0"/>
      </w:pPr>
      <w:rPr>
        <w:rFonts w:hint="eastAsia" w:ascii="黑体" w:eastAsia="黑体"/>
        <w:b w:val="0"/>
        <w:i w:val="0"/>
        <w:sz w:val="21"/>
      </w:rPr>
    </w:lvl>
    <w:lvl w:ilvl="2" w:tentative="0">
      <w:start w:val="1"/>
      <w:numFmt w:val="decimal"/>
      <w:pStyle w:val="2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22"/>
      <w:suff w:val="nothing"/>
      <w:lvlText w:val="%1%2.%3.%4　"/>
      <w:lvlJc w:val="left"/>
      <w:pPr>
        <w:ind w:left="0" w:firstLine="0"/>
      </w:pPr>
      <w:rPr>
        <w:rFonts w:hint="eastAsia" w:ascii="黑体" w:eastAsia="黑体"/>
        <w:b w:val="0"/>
        <w:i w:val="0"/>
        <w:sz w:val="21"/>
      </w:rPr>
    </w:lvl>
    <w:lvl w:ilvl="4" w:tentative="0">
      <w:start w:val="1"/>
      <w:numFmt w:val="decimal"/>
      <w:pStyle w:val="23"/>
      <w:suff w:val="nothing"/>
      <w:lvlText w:val="%1%2.%3.%4.%5　"/>
      <w:lvlJc w:val="left"/>
      <w:pPr>
        <w:ind w:left="0" w:firstLine="0"/>
      </w:pPr>
      <w:rPr>
        <w:rFonts w:hint="eastAsia" w:ascii="黑体" w:eastAsia="黑体"/>
        <w:b w:val="0"/>
        <w:i w:val="0"/>
        <w:sz w:val="21"/>
      </w:rPr>
    </w:lvl>
    <w:lvl w:ilvl="5" w:tentative="0">
      <w:start w:val="1"/>
      <w:numFmt w:val="decimal"/>
      <w:pStyle w:val="24"/>
      <w:suff w:val="nothing"/>
      <w:lvlText w:val="%1%2.%3.%4.%5.%6　"/>
      <w:lvlJc w:val="left"/>
      <w:pPr>
        <w:ind w:left="0" w:firstLine="0"/>
      </w:pPr>
      <w:rPr>
        <w:rFonts w:hint="eastAsia" w:ascii="黑体" w:eastAsia="黑体"/>
        <w:b w:val="0"/>
        <w:i w:val="0"/>
        <w:sz w:val="21"/>
      </w:rPr>
    </w:lvl>
    <w:lvl w:ilvl="6" w:tentative="0">
      <w:start w:val="1"/>
      <w:numFmt w:val="decimal"/>
      <w:pStyle w:val="2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BB6"/>
    <w:rsid w:val="000002BE"/>
    <w:rsid w:val="00000A91"/>
    <w:rsid w:val="00014151"/>
    <w:rsid w:val="00016794"/>
    <w:rsid w:val="00021258"/>
    <w:rsid w:val="000361A7"/>
    <w:rsid w:val="00046424"/>
    <w:rsid w:val="00054056"/>
    <w:rsid w:val="00054E2A"/>
    <w:rsid w:val="000551F7"/>
    <w:rsid w:val="000555F4"/>
    <w:rsid w:val="00056120"/>
    <w:rsid w:val="00062AFB"/>
    <w:rsid w:val="00072D8C"/>
    <w:rsid w:val="000736FD"/>
    <w:rsid w:val="0008201D"/>
    <w:rsid w:val="000849FB"/>
    <w:rsid w:val="0009536C"/>
    <w:rsid w:val="000A175D"/>
    <w:rsid w:val="000A29BE"/>
    <w:rsid w:val="000A3159"/>
    <w:rsid w:val="000B23A9"/>
    <w:rsid w:val="000B3780"/>
    <w:rsid w:val="000B6587"/>
    <w:rsid w:val="000B6A5F"/>
    <w:rsid w:val="000C20C3"/>
    <w:rsid w:val="000C3C9F"/>
    <w:rsid w:val="000D0648"/>
    <w:rsid w:val="000D0AAA"/>
    <w:rsid w:val="000D2FFF"/>
    <w:rsid w:val="000D5979"/>
    <w:rsid w:val="000D5FF8"/>
    <w:rsid w:val="000D611A"/>
    <w:rsid w:val="000E0021"/>
    <w:rsid w:val="000E41F6"/>
    <w:rsid w:val="000E4E58"/>
    <w:rsid w:val="000E5CFD"/>
    <w:rsid w:val="000F1CAB"/>
    <w:rsid w:val="000F3247"/>
    <w:rsid w:val="00103DE4"/>
    <w:rsid w:val="00113DD2"/>
    <w:rsid w:val="001148CA"/>
    <w:rsid w:val="001160F0"/>
    <w:rsid w:val="001236C9"/>
    <w:rsid w:val="00140BB9"/>
    <w:rsid w:val="0014450E"/>
    <w:rsid w:val="00146CA8"/>
    <w:rsid w:val="0016070E"/>
    <w:rsid w:val="00161E00"/>
    <w:rsid w:val="001636F4"/>
    <w:rsid w:val="0016653E"/>
    <w:rsid w:val="00170C0A"/>
    <w:rsid w:val="00171785"/>
    <w:rsid w:val="001724EA"/>
    <w:rsid w:val="001726CF"/>
    <w:rsid w:val="00176BCF"/>
    <w:rsid w:val="001814C4"/>
    <w:rsid w:val="00182225"/>
    <w:rsid w:val="00183616"/>
    <w:rsid w:val="00185C25"/>
    <w:rsid w:val="0019615E"/>
    <w:rsid w:val="00196605"/>
    <w:rsid w:val="001A2B52"/>
    <w:rsid w:val="001B0143"/>
    <w:rsid w:val="001B01A1"/>
    <w:rsid w:val="001B463E"/>
    <w:rsid w:val="001B55D1"/>
    <w:rsid w:val="001C163B"/>
    <w:rsid w:val="001C254F"/>
    <w:rsid w:val="001C31AD"/>
    <w:rsid w:val="001C4A0E"/>
    <w:rsid w:val="001C650C"/>
    <w:rsid w:val="001D72D3"/>
    <w:rsid w:val="001E64D1"/>
    <w:rsid w:val="001F35E9"/>
    <w:rsid w:val="001F526B"/>
    <w:rsid w:val="001F5516"/>
    <w:rsid w:val="001F5E2F"/>
    <w:rsid w:val="002028CF"/>
    <w:rsid w:val="002056EC"/>
    <w:rsid w:val="0021612B"/>
    <w:rsid w:val="0022100A"/>
    <w:rsid w:val="00222B85"/>
    <w:rsid w:val="0023477E"/>
    <w:rsid w:val="002402D5"/>
    <w:rsid w:val="00255A91"/>
    <w:rsid w:val="002624FA"/>
    <w:rsid w:val="00272D5E"/>
    <w:rsid w:val="00273078"/>
    <w:rsid w:val="002848AB"/>
    <w:rsid w:val="002860C3"/>
    <w:rsid w:val="00287367"/>
    <w:rsid w:val="00291A88"/>
    <w:rsid w:val="00292394"/>
    <w:rsid w:val="002A39B0"/>
    <w:rsid w:val="002B5BB6"/>
    <w:rsid w:val="002C0591"/>
    <w:rsid w:val="002C5A4C"/>
    <w:rsid w:val="002C62EF"/>
    <w:rsid w:val="002C6368"/>
    <w:rsid w:val="002D203B"/>
    <w:rsid w:val="002D310F"/>
    <w:rsid w:val="002D5530"/>
    <w:rsid w:val="002E2475"/>
    <w:rsid w:val="002E6430"/>
    <w:rsid w:val="002E6C52"/>
    <w:rsid w:val="002F1B81"/>
    <w:rsid w:val="002F28DB"/>
    <w:rsid w:val="002F295E"/>
    <w:rsid w:val="002F7417"/>
    <w:rsid w:val="003012EF"/>
    <w:rsid w:val="003217D3"/>
    <w:rsid w:val="003259AE"/>
    <w:rsid w:val="00331BCD"/>
    <w:rsid w:val="00331C6C"/>
    <w:rsid w:val="003353FC"/>
    <w:rsid w:val="00335701"/>
    <w:rsid w:val="00342147"/>
    <w:rsid w:val="00344EF7"/>
    <w:rsid w:val="0035393E"/>
    <w:rsid w:val="00355C3C"/>
    <w:rsid w:val="00362E45"/>
    <w:rsid w:val="003720D2"/>
    <w:rsid w:val="003761DD"/>
    <w:rsid w:val="003762EF"/>
    <w:rsid w:val="003817C6"/>
    <w:rsid w:val="003923E6"/>
    <w:rsid w:val="00395F92"/>
    <w:rsid w:val="00396F2C"/>
    <w:rsid w:val="00397AF1"/>
    <w:rsid w:val="003A12F6"/>
    <w:rsid w:val="003A29AF"/>
    <w:rsid w:val="003B03F3"/>
    <w:rsid w:val="003B455E"/>
    <w:rsid w:val="003E1FDA"/>
    <w:rsid w:val="003E589C"/>
    <w:rsid w:val="003F6F4B"/>
    <w:rsid w:val="00402CE5"/>
    <w:rsid w:val="00405564"/>
    <w:rsid w:val="00406D66"/>
    <w:rsid w:val="0041478D"/>
    <w:rsid w:val="00415950"/>
    <w:rsid w:val="00417901"/>
    <w:rsid w:val="00420010"/>
    <w:rsid w:val="00423AF6"/>
    <w:rsid w:val="00426F2E"/>
    <w:rsid w:val="00430F10"/>
    <w:rsid w:val="00431595"/>
    <w:rsid w:val="00433FCF"/>
    <w:rsid w:val="00442D32"/>
    <w:rsid w:val="00453262"/>
    <w:rsid w:val="004566BB"/>
    <w:rsid w:val="00456DEE"/>
    <w:rsid w:val="004616C5"/>
    <w:rsid w:val="00463ED3"/>
    <w:rsid w:val="004664AC"/>
    <w:rsid w:val="00474949"/>
    <w:rsid w:val="00476C1F"/>
    <w:rsid w:val="00480C8A"/>
    <w:rsid w:val="00485C01"/>
    <w:rsid w:val="00487DB4"/>
    <w:rsid w:val="00487DCA"/>
    <w:rsid w:val="004969B7"/>
    <w:rsid w:val="004A6709"/>
    <w:rsid w:val="004A7B3A"/>
    <w:rsid w:val="004B3E7C"/>
    <w:rsid w:val="004C3680"/>
    <w:rsid w:val="004C37A9"/>
    <w:rsid w:val="004C3A94"/>
    <w:rsid w:val="004C4A03"/>
    <w:rsid w:val="004C61D3"/>
    <w:rsid w:val="004D78BA"/>
    <w:rsid w:val="004D7DFD"/>
    <w:rsid w:val="004E552A"/>
    <w:rsid w:val="004E757B"/>
    <w:rsid w:val="00502781"/>
    <w:rsid w:val="00507D9A"/>
    <w:rsid w:val="00511601"/>
    <w:rsid w:val="005129F3"/>
    <w:rsid w:val="00517C82"/>
    <w:rsid w:val="005215DB"/>
    <w:rsid w:val="005225BD"/>
    <w:rsid w:val="00525449"/>
    <w:rsid w:val="005258DD"/>
    <w:rsid w:val="005276F5"/>
    <w:rsid w:val="00530B43"/>
    <w:rsid w:val="005410AA"/>
    <w:rsid w:val="005414F2"/>
    <w:rsid w:val="0056533C"/>
    <w:rsid w:val="0056668D"/>
    <w:rsid w:val="005670B0"/>
    <w:rsid w:val="00591C1B"/>
    <w:rsid w:val="0059479B"/>
    <w:rsid w:val="005A049F"/>
    <w:rsid w:val="005A237F"/>
    <w:rsid w:val="005A74D2"/>
    <w:rsid w:val="005B0C38"/>
    <w:rsid w:val="005B2562"/>
    <w:rsid w:val="005B3848"/>
    <w:rsid w:val="005B46A1"/>
    <w:rsid w:val="005E22FC"/>
    <w:rsid w:val="005E5611"/>
    <w:rsid w:val="005E7886"/>
    <w:rsid w:val="005F4537"/>
    <w:rsid w:val="0060002A"/>
    <w:rsid w:val="00603FDE"/>
    <w:rsid w:val="006059FE"/>
    <w:rsid w:val="00610227"/>
    <w:rsid w:val="00611DDB"/>
    <w:rsid w:val="00612221"/>
    <w:rsid w:val="00614673"/>
    <w:rsid w:val="0062055B"/>
    <w:rsid w:val="00624210"/>
    <w:rsid w:val="006243E8"/>
    <w:rsid w:val="0063463A"/>
    <w:rsid w:val="00641A36"/>
    <w:rsid w:val="0064566E"/>
    <w:rsid w:val="0064679F"/>
    <w:rsid w:val="00646FAC"/>
    <w:rsid w:val="00656470"/>
    <w:rsid w:val="006565E0"/>
    <w:rsid w:val="00656797"/>
    <w:rsid w:val="00657F10"/>
    <w:rsid w:val="0066277E"/>
    <w:rsid w:val="00663C39"/>
    <w:rsid w:val="0066695A"/>
    <w:rsid w:val="00675363"/>
    <w:rsid w:val="00681385"/>
    <w:rsid w:val="00684932"/>
    <w:rsid w:val="00684F6F"/>
    <w:rsid w:val="0068704F"/>
    <w:rsid w:val="006A1F3C"/>
    <w:rsid w:val="006A4D62"/>
    <w:rsid w:val="006A541A"/>
    <w:rsid w:val="006B058A"/>
    <w:rsid w:val="006B1AD5"/>
    <w:rsid w:val="006C452A"/>
    <w:rsid w:val="006D6B48"/>
    <w:rsid w:val="006D70B2"/>
    <w:rsid w:val="006D7417"/>
    <w:rsid w:val="006E0AF7"/>
    <w:rsid w:val="006F146D"/>
    <w:rsid w:val="006F3A80"/>
    <w:rsid w:val="006F3B83"/>
    <w:rsid w:val="006F4716"/>
    <w:rsid w:val="006F4CAB"/>
    <w:rsid w:val="007079A0"/>
    <w:rsid w:val="007173B7"/>
    <w:rsid w:val="007208C2"/>
    <w:rsid w:val="00720B7D"/>
    <w:rsid w:val="00721141"/>
    <w:rsid w:val="00722747"/>
    <w:rsid w:val="00723D6B"/>
    <w:rsid w:val="007248A4"/>
    <w:rsid w:val="0072609E"/>
    <w:rsid w:val="00731491"/>
    <w:rsid w:val="00732443"/>
    <w:rsid w:val="007458B0"/>
    <w:rsid w:val="007527A1"/>
    <w:rsid w:val="00756A8D"/>
    <w:rsid w:val="007705A5"/>
    <w:rsid w:val="0077398D"/>
    <w:rsid w:val="00775C43"/>
    <w:rsid w:val="00777702"/>
    <w:rsid w:val="0078461C"/>
    <w:rsid w:val="00791489"/>
    <w:rsid w:val="00791BC7"/>
    <w:rsid w:val="00795102"/>
    <w:rsid w:val="00795B4B"/>
    <w:rsid w:val="007A1462"/>
    <w:rsid w:val="007A22A3"/>
    <w:rsid w:val="007B18C4"/>
    <w:rsid w:val="007B1C3C"/>
    <w:rsid w:val="007C1B59"/>
    <w:rsid w:val="007C7815"/>
    <w:rsid w:val="007D4457"/>
    <w:rsid w:val="007D4B4D"/>
    <w:rsid w:val="007D56F8"/>
    <w:rsid w:val="007D5974"/>
    <w:rsid w:val="007D6648"/>
    <w:rsid w:val="007D7386"/>
    <w:rsid w:val="007E62F4"/>
    <w:rsid w:val="007E7EF9"/>
    <w:rsid w:val="007F04FE"/>
    <w:rsid w:val="007F2633"/>
    <w:rsid w:val="00801A0F"/>
    <w:rsid w:val="00802477"/>
    <w:rsid w:val="008048A6"/>
    <w:rsid w:val="00804E14"/>
    <w:rsid w:val="0081076E"/>
    <w:rsid w:val="00812155"/>
    <w:rsid w:val="00821CA3"/>
    <w:rsid w:val="00833080"/>
    <w:rsid w:val="00835BBB"/>
    <w:rsid w:val="008457A0"/>
    <w:rsid w:val="008909B6"/>
    <w:rsid w:val="008973BB"/>
    <w:rsid w:val="00897C54"/>
    <w:rsid w:val="008A0104"/>
    <w:rsid w:val="008A115E"/>
    <w:rsid w:val="008A197F"/>
    <w:rsid w:val="008A286D"/>
    <w:rsid w:val="008B110E"/>
    <w:rsid w:val="008B72BC"/>
    <w:rsid w:val="008B7A58"/>
    <w:rsid w:val="008C5F79"/>
    <w:rsid w:val="008D1D6B"/>
    <w:rsid w:val="008D600E"/>
    <w:rsid w:val="008E2CBD"/>
    <w:rsid w:val="008E4700"/>
    <w:rsid w:val="008E508E"/>
    <w:rsid w:val="008F23DC"/>
    <w:rsid w:val="008F60DF"/>
    <w:rsid w:val="00900092"/>
    <w:rsid w:val="00906A1E"/>
    <w:rsid w:val="0090792B"/>
    <w:rsid w:val="00911AAA"/>
    <w:rsid w:val="009130DC"/>
    <w:rsid w:val="0092225E"/>
    <w:rsid w:val="009235A1"/>
    <w:rsid w:val="0094068F"/>
    <w:rsid w:val="00941F4E"/>
    <w:rsid w:val="009454BD"/>
    <w:rsid w:val="00956EA7"/>
    <w:rsid w:val="00957B21"/>
    <w:rsid w:val="00957F07"/>
    <w:rsid w:val="009605A1"/>
    <w:rsid w:val="009644F1"/>
    <w:rsid w:val="00966E3A"/>
    <w:rsid w:val="009708D2"/>
    <w:rsid w:val="00973639"/>
    <w:rsid w:val="0098113E"/>
    <w:rsid w:val="009928EA"/>
    <w:rsid w:val="00992960"/>
    <w:rsid w:val="00992C2B"/>
    <w:rsid w:val="00994874"/>
    <w:rsid w:val="0099682D"/>
    <w:rsid w:val="009969DA"/>
    <w:rsid w:val="009A08E3"/>
    <w:rsid w:val="009A3669"/>
    <w:rsid w:val="009B59C7"/>
    <w:rsid w:val="009C14D6"/>
    <w:rsid w:val="009D0639"/>
    <w:rsid w:val="009D5062"/>
    <w:rsid w:val="009E1524"/>
    <w:rsid w:val="009E64BF"/>
    <w:rsid w:val="009F0741"/>
    <w:rsid w:val="009F1C28"/>
    <w:rsid w:val="009F3BF5"/>
    <w:rsid w:val="00A03ECC"/>
    <w:rsid w:val="00A10196"/>
    <w:rsid w:val="00A161B1"/>
    <w:rsid w:val="00A16343"/>
    <w:rsid w:val="00A24242"/>
    <w:rsid w:val="00A251E3"/>
    <w:rsid w:val="00A412ED"/>
    <w:rsid w:val="00A41958"/>
    <w:rsid w:val="00A424CC"/>
    <w:rsid w:val="00A517C7"/>
    <w:rsid w:val="00A53F26"/>
    <w:rsid w:val="00A571B7"/>
    <w:rsid w:val="00A628C3"/>
    <w:rsid w:val="00A63F8C"/>
    <w:rsid w:val="00A7056E"/>
    <w:rsid w:val="00A72305"/>
    <w:rsid w:val="00A732E1"/>
    <w:rsid w:val="00A82D0B"/>
    <w:rsid w:val="00A867CE"/>
    <w:rsid w:val="00A9174E"/>
    <w:rsid w:val="00A9237F"/>
    <w:rsid w:val="00A96A9E"/>
    <w:rsid w:val="00AA25D6"/>
    <w:rsid w:val="00AB6E77"/>
    <w:rsid w:val="00AC07B1"/>
    <w:rsid w:val="00AC23D7"/>
    <w:rsid w:val="00AC2521"/>
    <w:rsid w:val="00AC4DD8"/>
    <w:rsid w:val="00AC4FFE"/>
    <w:rsid w:val="00AC7C94"/>
    <w:rsid w:val="00AC7CBA"/>
    <w:rsid w:val="00AD01BE"/>
    <w:rsid w:val="00AD131F"/>
    <w:rsid w:val="00AD5C2C"/>
    <w:rsid w:val="00AD7400"/>
    <w:rsid w:val="00AE0BE1"/>
    <w:rsid w:val="00AE0CC1"/>
    <w:rsid w:val="00AE145A"/>
    <w:rsid w:val="00AE4996"/>
    <w:rsid w:val="00AF1B03"/>
    <w:rsid w:val="00AF49B7"/>
    <w:rsid w:val="00AF7891"/>
    <w:rsid w:val="00B004AE"/>
    <w:rsid w:val="00B0061F"/>
    <w:rsid w:val="00B00A99"/>
    <w:rsid w:val="00B013A2"/>
    <w:rsid w:val="00B12B03"/>
    <w:rsid w:val="00B16328"/>
    <w:rsid w:val="00B16A87"/>
    <w:rsid w:val="00B17047"/>
    <w:rsid w:val="00B23A8A"/>
    <w:rsid w:val="00B276FB"/>
    <w:rsid w:val="00B27E5E"/>
    <w:rsid w:val="00B327B6"/>
    <w:rsid w:val="00B32A97"/>
    <w:rsid w:val="00B4041D"/>
    <w:rsid w:val="00B430EE"/>
    <w:rsid w:val="00B45966"/>
    <w:rsid w:val="00B5323E"/>
    <w:rsid w:val="00B61CEA"/>
    <w:rsid w:val="00B61FE6"/>
    <w:rsid w:val="00B675FD"/>
    <w:rsid w:val="00B814BA"/>
    <w:rsid w:val="00B82258"/>
    <w:rsid w:val="00B91468"/>
    <w:rsid w:val="00BA6C0E"/>
    <w:rsid w:val="00BB56AA"/>
    <w:rsid w:val="00BB7DA1"/>
    <w:rsid w:val="00BC0443"/>
    <w:rsid w:val="00BC75A2"/>
    <w:rsid w:val="00BD0CF8"/>
    <w:rsid w:val="00BD2545"/>
    <w:rsid w:val="00BE6683"/>
    <w:rsid w:val="00BF0AB0"/>
    <w:rsid w:val="00BF123A"/>
    <w:rsid w:val="00BF23C3"/>
    <w:rsid w:val="00BF44D2"/>
    <w:rsid w:val="00C00672"/>
    <w:rsid w:val="00C0238A"/>
    <w:rsid w:val="00C1020F"/>
    <w:rsid w:val="00C112AB"/>
    <w:rsid w:val="00C21392"/>
    <w:rsid w:val="00C34C8E"/>
    <w:rsid w:val="00C36925"/>
    <w:rsid w:val="00C41E3A"/>
    <w:rsid w:val="00C42173"/>
    <w:rsid w:val="00C46E43"/>
    <w:rsid w:val="00C5575C"/>
    <w:rsid w:val="00C5685E"/>
    <w:rsid w:val="00C62401"/>
    <w:rsid w:val="00C62BB0"/>
    <w:rsid w:val="00C677B0"/>
    <w:rsid w:val="00C7320A"/>
    <w:rsid w:val="00C77D48"/>
    <w:rsid w:val="00C802CA"/>
    <w:rsid w:val="00C803EA"/>
    <w:rsid w:val="00C86CD4"/>
    <w:rsid w:val="00C87476"/>
    <w:rsid w:val="00C93F17"/>
    <w:rsid w:val="00CA7563"/>
    <w:rsid w:val="00CB1538"/>
    <w:rsid w:val="00CB220F"/>
    <w:rsid w:val="00CB4F09"/>
    <w:rsid w:val="00CB593F"/>
    <w:rsid w:val="00CC0873"/>
    <w:rsid w:val="00CD32F8"/>
    <w:rsid w:val="00CD388C"/>
    <w:rsid w:val="00CD6B05"/>
    <w:rsid w:val="00CD6CD2"/>
    <w:rsid w:val="00CD7CD2"/>
    <w:rsid w:val="00CE3D40"/>
    <w:rsid w:val="00CE3E0A"/>
    <w:rsid w:val="00CE53E9"/>
    <w:rsid w:val="00CE574B"/>
    <w:rsid w:val="00CF3A81"/>
    <w:rsid w:val="00D02AB1"/>
    <w:rsid w:val="00D068A2"/>
    <w:rsid w:val="00D13C8D"/>
    <w:rsid w:val="00D2176E"/>
    <w:rsid w:val="00D24530"/>
    <w:rsid w:val="00D24C18"/>
    <w:rsid w:val="00D26FE7"/>
    <w:rsid w:val="00D333BA"/>
    <w:rsid w:val="00D4254A"/>
    <w:rsid w:val="00D4435B"/>
    <w:rsid w:val="00D51891"/>
    <w:rsid w:val="00D5403E"/>
    <w:rsid w:val="00D56A27"/>
    <w:rsid w:val="00D615BD"/>
    <w:rsid w:val="00D74D7E"/>
    <w:rsid w:val="00D82928"/>
    <w:rsid w:val="00D86BFD"/>
    <w:rsid w:val="00D904B3"/>
    <w:rsid w:val="00D91E53"/>
    <w:rsid w:val="00DA3115"/>
    <w:rsid w:val="00DA4684"/>
    <w:rsid w:val="00DB5D71"/>
    <w:rsid w:val="00DB5E2F"/>
    <w:rsid w:val="00DB631B"/>
    <w:rsid w:val="00DC439A"/>
    <w:rsid w:val="00DC4516"/>
    <w:rsid w:val="00DC7DF5"/>
    <w:rsid w:val="00DD012D"/>
    <w:rsid w:val="00DD43FE"/>
    <w:rsid w:val="00DD6B54"/>
    <w:rsid w:val="00DD7732"/>
    <w:rsid w:val="00DE141E"/>
    <w:rsid w:val="00DE2C0D"/>
    <w:rsid w:val="00DE6861"/>
    <w:rsid w:val="00DF097F"/>
    <w:rsid w:val="00DF4CB5"/>
    <w:rsid w:val="00E078EF"/>
    <w:rsid w:val="00E1041E"/>
    <w:rsid w:val="00E15004"/>
    <w:rsid w:val="00E17BA7"/>
    <w:rsid w:val="00E24025"/>
    <w:rsid w:val="00E24F0C"/>
    <w:rsid w:val="00E33D4C"/>
    <w:rsid w:val="00E35464"/>
    <w:rsid w:val="00E37B52"/>
    <w:rsid w:val="00E401B1"/>
    <w:rsid w:val="00E55E46"/>
    <w:rsid w:val="00E57B6C"/>
    <w:rsid w:val="00E65623"/>
    <w:rsid w:val="00E65866"/>
    <w:rsid w:val="00E66352"/>
    <w:rsid w:val="00E66474"/>
    <w:rsid w:val="00E736CC"/>
    <w:rsid w:val="00E75FB0"/>
    <w:rsid w:val="00E77A1B"/>
    <w:rsid w:val="00E80242"/>
    <w:rsid w:val="00E82DE5"/>
    <w:rsid w:val="00E92750"/>
    <w:rsid w:val="00E93517"/>
    <w:rsid w:val="00EA3910"/>
    <w:rsid w:val="00EA6888"/>
    <w:rsid w:val="00EA6BC2"/>
    <w:rsid w:val="00EB030D"/>
    <w:rsid w:val="00EB4CC9"/>
    <w:rsid w:val="00EB6943"/>
    <w:rsid w:val="00EC0DEE"/>
    <w:rsid w:val="00EC3701"/>
    <w:rsid w:val="00EC6AC6"/>
    <w:rsid w:val="00ED164D"/>
    <w:rsid w:val="00ED1EB5"/>
    <w:rsid w:val="00EE0FE5"/>
    <w:rsid w:val="00EE2EDF"/>
    <w:rsid w:val="00EF0F62"/>
    <w:rsid w:val="00EF12BE"/>
    <w:rsid w:val="00EF1F26"/>
    <w:rsid w:val="00F022EB"/>
    <w:rsid w:val="00F04E38"/>
    <w:rsid w:val="00F0610A"/>
    <w:rsid w:val="00F07BF1"/>
    <w:rsid w:val="00F07C41"/>
    <w:rsid w:val="00F07D46"/>
    <w:rsid w:val="00F14EE1"/>
    <w:rsid w:val="00F1559B"/>
    <w:rsid w:val="00F17148"/>
    <w:rsid w:val="00F243D5"/>
    <w:rsid w:val="00F25032"/>
    <w:rsid w:val="00F27384"/>
    <w:rsid w:val="00F27560"/>
    <w:rsid w:val="00F32C96"/>
    <w:rsid w:val="00F331D5"/>
    <w:rsid w:val="00F350C7"/>
    <w:rsid w:val="00F40ABD"/>
    <w:rsid w:val="00F40F25"/>
    <w:rsid w:val="00F42DE7"/>
    <w:rsid w:val="00F4330F"/>
    <w:rsid w:val="00F4472F"/>
    <w:rsid w:val="00F44F1D"/>
    <w:rsid w:val="00F4532A"/>
    <w:rsid w:val="00F60700"/>
    <w:rsid w:val="00F7128D"/>
    <w:rsid w:val="00F72D1C"/>
    <w:rsid w:val="00F73FF5"/>
    <w:rsid w:val="00F82379"/>
    <w:rsid w:val="00F9706B"/>
    <w:rsid w:val="00FA3C75"/>
    <w:rsid w:val="00FA681C"/>
    <w:rsid w:val="00FA7B16"/>
    <w:rsid w:val="00FC381B"/>
    <w:rsid w:val="00FC44BD"/>
    <w:rsid w:val="00FC53E3"/>
    <w:rsid w:val="00FC5F87"/>
    <w:rsid w:val="00FD1961"/>
    <w:rsid w:val="00FE69FA"/>
    <w:rsid w:val="00FF333E"/>
    <w:rsid w:val="00FF3397"/>
    <w:rsid w:val="00FF54A8"/>
    <w:rsid w:val="00FF605C"/>
    <w:rsid w:val="00FF6789"/>
    <w:rsid w:val="00FF706D"/>
    <w:rsid w:val="00FF7108"/>
    <w:rsid w:val="47665F17"/>
    <w:rsid w:val="5F155949"/>
    <w:rsid w:val="71983564"/>
    <w:rsid w:val="76C577FD"/>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pPr>
    <w:rPr>
      <w:rFonts w:ascii="仿宋_GB2312" w:hAnsi="Times New Roman" w:eastAsia="仿宋_GB2312" w:cs="Times New Roman"/>
      <w:kern w:val="2"/>
      <w:sz w:val="32"/>
      <w:szCs w:val="32"/>
      <w:lang w:val="en-US" w:eastAsia="zh-CN" w:bidi="ar-SA"/>
    </w:rPr>
  </w:style>
  <w:style w:type="paragraph" w:styleId="2">
    <w:name w:val="heading 1"/>
    <w:basedOn w:val="1"/>
    <w:next w:val="1"/>
    <w:link w:val="14"/>
    <w:qFormat/>
    <w:uiPriority w:val="0"/>
    <w:pPr>
      <w:keepNext/>
      <w:keepLines/>
      <w:outlineLvl w:val="0"/>
    </w:pPr>
    <w:rPr>
      <w:rFonts w:eastAsia="黑体"/>
      <w:bCs/>
      <w:kern w:val="44"/>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3"/>
    <w:semiHidden/>
    <w:unhideWhenUsed/>
    <w:uiPriority w:val="99"/>
    <w:pPr>
      <w:ind w:left="100" w:leftChars="2500"/>
    </w:pPr>
  </w:style>
  <w:style w:type="paragraph" w:styleId="4">
    <w:name w:val="Balloon Text"/>
    <w:basedOn w:val="1"/>
    <w:link w:val="21"/>
    <w:semiHidden/>
    <w:unhideWhenUsed/>
    <w:uiPriority w:val="99"/>
    <w:pPr>
      <w:spacing w:line="240" w:lineRule="auto"/>
    </w:pPr>
    <w:rPr>
      <w:sz w:val="18"/>
      <w:szCs w:val="18"/>
    </w:rPr>
  </w:style>
  <w:style w:type="paragraph" w:styleId="5">
    <w:name w:val="footer"/>
    <w:basedOn w:val="1"/>
    <w:link w:val="12"/>
    <w:unhideWhenUsed/>
    <w:uiPriority w:val="99"/>
    <w:pPr>
      <w:tabs>
        <w:tab w:val="center" w:pos="4153"/>
        <w:tab w:val="right" w:pos="8306"/>
      </w:tabs>
      <w:snapToGrid w:val="0"/>
      <w:spacing w:line="240" w:lineRule="auto"/>
      <w:ind w:firstLine="0" w:firstLineChars="0"/>
    </w:pPr>
    <w:rPr>
      <w:rFonts w:asciiTheme="minorHAnsi" w:hAnsiTheme="minorHAnsi" w:eastAsiaTheme="minorEastAsia" w:cstheme="minorBidi"/>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outlineLvl w:val="1"/>
    </w:pPr>
    <w:rPr>
      <w:rFonts w:ascii="Cambria" w:hAnsi="Cambria" w:eastAsia="楷体_GB2312"/>
      <w:b/>
      <w:bCs/>
    </w:rPr>
  </w:style>
  <w:style w:type="table" w:styleId="9">
    <w:name w:val="Table Grid"/>
    <w:basedOn w:val="8"/>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6"/>
    <w:uiPriority w:val="99"/>
    <w:rPr>
      <w:sz w:val="18"/>
      <w:szCs w:val="18"/>
    </w:rPr>
  </w:style>
  <w:style w:type="character" w:customStyle="1" w:styleId="12">
    <w:name w:val="页脚 Char"/>
    <w:basedOn w:val="10"/>
    <w:link w:val="5"/>
    <w:uiPriority w:val="99"/>
    <w:rPr>
      <w:sz w:val="18"/>
      <w:szCs w:val="18"/>
    </w:rPr>
  </w:style>
  <w:style w:type="character" w:customStyle="1" w:styleId="13">
    <w:name w:val="日期 Char"/>
    <w:basedOn w:val="10"/>
    <w:link w:val="3"/>
    <w:semiHidden/>
    <w:uiPriority w:val="99"/>
    <w:rPr>
      <w:rFonts w:ascii="仿宋_GB2312" w:hAnsi="Times New Roman" w:eastAsia="仿宋_GB2312" w:cs="Times New Roman"/>
      <w:sz w:val="32"/>
      <w:szCs w:val="32"/>
    </w:rPr>
  </w:style>
  <w:style w:type="character" w:customStyle="1" w:styleId="14">
    <w:name w:val="标题 1 Char"/>
    <w:basedOn w:val="10"/>
    <w:link w:val="2"/>
    <w:uiPriority w:val="0"/>
    <w:rPr>
      <w:rFonts w:ascii="仿宋_GB2312" w:hAnsi="Times New Roman" w:eastAsia="黑体" w:cs="Times New Roman"/>
      <w:bCs/>
      <w:kern w:val="44"/>
      <w:sz w:val="32"/>
      <w:szCs w:val="44"/>
    </w:rPr>
  </w:style>
  <w:style w:type="character" w:customStyle="1" w:styleId="15">
    <w:name w:val="标题 Char"/>
    <w:basedOn w:val="10"/>
    <w:link w:val="7"/>
    <w:uiPriority w:val="0"/>
    <w:rPr>
      <w:rFonts w:ascii="Cambria" w:hAnsi="Cambria" w:eastAsia="楷体_GB2312" w:cs="Times New Roman"/>
      <w:b/>
      <w:bCs/>
      <w:sz w:val="32"/>
      <w:szCs w:val="32"/>
    </w:rPr>
  </w:style>
  <w:style w:type="paragraph" w:customStyle="1" w:styleId="16">
    <w:name w:val="段"/>
    <w:link w:val="17"/>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17">
    <w:name w:val="段 Char"/>
    <w:basedOn w:val="10"/>
    <w:link w:val="16"/>
    <w:uiPriority w:val="0"/>
    <w:rPr>
      <w:rFonts w:ascii="宋体" w:hAnsi="Times New Roman" w:eastAsia="宋体" w:cs="Times New Roman"/>
      <w:kern w:val="0"/>
      <w:szCs w:val="20"/>
    </w:rPr>
  </w:style>
  <w:style w:type="paragraph" w:styleId="18">
    <w:name w:val="List Paragraph"/>
    <w:basedOn w:val="1"/>
    <w:qFormat/>
    <w:uiPriority w:val="0"/>
    <w:pPr>
      <w:ind w:firstLine="420"/>
    </w:pPr>
  </w:style>
  <w:style w:type="paragraph" w:customStyle="1" w:styleId="19">
    <w:name w:val="标准文件_段"/>
    <w:link w:val="20"/>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customStyle="1" w:styleId="20">
    <w:name w:val="标准文件_段 Char"/>
    <w:link w:val="19"/>
    <w:uiPriority w:val="0"/>
    <w:rPr>
      <w:rFonts w:ascii="宋体" w:hAnsi="Times New Roman" w:eastAsia="宋体" w:cs="Times New Roman"/>
      <w:kern w:val="0"/>
      <w:szCs w:val="20"/>
    </w:rPr>
  </w:style>
  <w:style w:type="character" w:customStyle="1" w:styleId="21">
    <w:name w:val="批注框文本 Char"/>
    <w:basedOn w:val="10"/>
    <w:link w:val="4"/>
    <w:semiHidden/>
    <w:uiPriority w:val="99"/>
    <w:rPr>
      <w:rFonts w:ascii="仿宋_GB2312" w:hAnsi="Times New Roman" w:eastAsia="仿宋_GB2312" w:cs="Times New Roman"/>
      <w:sz w:val="18"/>
      <w:szCs w:val="18"/>
    </w:rPr>
  </w:style>
  <w:style w:type="paragraph" w:customStyle="1" w:styleId="22">
    <w:name w:val="标准文件_二级条标题"/>
    <w:next w:val="19"/>
    <w:uiPriority w:val="0"/>
    <w:pPr>
      <w:widowControl w:val="0"/>
      <w:numPr>
        <w:ilvl w:val="3"/>
        <w:numId w:val="1"/>
      </w:numPr>
      <w:spacing w:before="50" w:beforeLines="50" w:after="50" w:afterLines="50"/>
      <w:jc w:val="both"/>
      <w:outlineLvl w:val="2"/>
    </w:pPr>
    <w:rPr>
      <w:rFonts w:ascii="黑体" w:hAnsi="Times New Roman" w:eastAsia="黑体" w:cs="Times New Roman"/>
      <w:kern w:val="0"/>
      <w:sz w:val="21"/>
      <w:szCs w:val="20"/>
      <w:lang w:val="en-US" w:eastAsia="zh-CN" w:bidi="ar-SA"/>
    </w:rPr>
  </w:style>
  <w:style w:type="paragraph" w:customStyle="1" w:styleId="23">
    <w:name w:val="标准文件_三级条标题"/>
    <w:basedOn w:val="22"/>
    <w:next w:val="19"/>
    <w:uiPriority w:val="0"/>
    <w:pPr>
      <w:widowControl/>
      <w:numPr>
        <w:ilvl w:val="4"/>
      </w:numPr>
      <w:ind w:left="142"/>
      <w:outlineLvl w:val="3"/>
    </w:pPr>
  </w:style>
  <w:style w:type="paragraph" w:customStyle="1" w:styleId="24">
    <w:name w:val="标准文件_四级条标题"/>
    <w:next w:val="19"/>
    <w:uiPriority w:val="0"/>
    <w:pPr>
      <w:widowControl w:val="0"/>
      <w:numPr>
        <w:ilvl w:val="5"/>
        <w:numId w:val="1"/>
      </w:numPr>
      <w:spacing w:before="50" w:beforeLines="50" w:after="50" w:afterLines="50"/>
      <w:jc w:val="both"/>
      <w:outlineLvl w:val="4"/>
    </w:pPr>
    <w:rPr>
      <w:rFonts w:ascii="黑体" w:hAnsi="Times New Roman" w:eastAsia="黑体" w:cs="Times New Roman"/>
      <w:kern w:val="0"/>
      <w:sz w:val="21"/>
      <w:szCs w:val="20"/>
      <w:lang w:val="en-US" w:eastAsia="zh-CN" w:bidi="ar-SA"/>
    </w:rPr>
  </w:style>
  <w:style w:type="paragraph" w:customStyle="1" w:styleId="25">
    <w:name w:val="标准文件_五级条标题"/>
    <w:next w:val="19"/>
    <w:uiPriority w:val="0"/>
    <w:pPr>
      <w:widowControl w:val="0"/>
      <w:numPr>
        <w:ilvl w:val="6"/>
        <w:numId w:val="1"/>
      </w:numPr>
      <w:spacing w:before="50" w:beforeLines="50" w:after="50" w:afterLines="50"/>
      <w:jc w:val="both"/>
      <w:outlineLvl w:val="5"/>
    </w:pPr>
    <w:rPr>
      <w:rFonts w:ascii="黑体" w:hAnsi="Times New Roman" w:eastAsia="黑体" w:cs="Times New Roman"/>
      <w:kern w:val="0"/>
      <w:sz w:val="21"/>
      <w:szCs w:val="20"/>
      <w:lang w:val="en-US" w:eastAsia="zh-CN" w:bidi="ar-SA"/>
    </w:rPr>
  </w:style>
  <w:style w:type="paragraph" w:customStyle="1" w:styleId="26">
    <w:name w:val="标准文件_章标题"/>
    <w:next w:val="19"/>
    <w:uiPriority w:val="0"/>
    <w:pPr>
      <w:numPr>
        <w:ilvl w:val="1"/>
        <w:numId w:val="1"/>
      </w:numPr>
      <w:spacing w:before="100" w:beforeLines="100" w:after="100" w:afterLines="100"/>
      <w:jc w:val="both"/>
      <w:outlineLvl w:val="0"/>
    </w:pPr>
    <w:rPr>
      <w:rFonts w:ascii="黑体" w:hAnsi="Times New Roman" w:eastAsia="黑体" w:cs="Times New Roman"/>
      <w:kern w:val="0"/>
      <w:sz w:val="21"/>
      <w:szCs w:val="20"/>
      <w:lang w:val="en-US" w:eastAsia="zh-CN" w:bidi="ar-SA"/>
    </w:rPr>
  </w:style>
  <w:style w:type="paragraph" w:customStyle="1" w:styleId="27">
    <w:name w:val="标准文件_一级条标题"/>
    <w:basedOn w:val="26"/>
    <w:next w:val="19"/>
    <w:uiPriority w:val="0"/>
    <w:pPr>
      <w:numPr>
        <w:ilvl w:val="2"/>
      </w:numPr>
      <w:spacing w:before="50" w:beforeLines="50" w:after="50" w:afterLines="50"/>
      <w:ind w:left="568"/>
      <w:outlineLvl w:val="1"/>
    </w:pPr>
  </w:style>
  <w:style w:type="paragraph" w:customStyle="1" w:styleId="28">
    <w:name w:val="前言标题"/>
    <w:next w:val="1"/>
    <w:uiPriority w:val="0"/>
    <w:pPr>
      <w:numPr>
        <w:ilvl w:val="0"/>
        <w:numId w:val="1"/>
      </w:numPr>
      <w:shd w:val="clear" w:color="FFFFFF" w:fill="FFFFFF"/>
      <w:spacing w:before="540" w:after="600"/>
      <w:jc w:val="center"/>
      <w:outlineLvl w:val="0"/>
    </w:pPr>
    <w:rPr>
      <w:rFonts w:ascii="黑体" w:hAnsi="Times New Roman" w:eastAsia="黑体" w:cs="Times New Roman"/>
      <w:kern w:val="0"/>
      <w:sz w:val="32"/>
      <w:szCs w:val="20"/>
      <w:lang w:val="en-US" w:eastAsia="zh-CN" w:bidi="ar-SA"/>
    </w:rPr>
  </w:style>
  <w:style w:type="table" w:customStyle="1" w:styleId="29">
    <w:name w:val="网格型1"/>
    <w:basedOn w:val="8"/>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0">
    <w:name w:val="网格型2"/>
    <w:basedOn w:val="8"/>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
    <w:name w:val="网格型3"/>
    <w:basedOn w:val="8"/>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
    <w:name w:val="网格型4"/>
    <w:basedOn w:val="8"/>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
    <w:name w:val="网格型5"/>
    <w:basedOn w:val="8"/>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4">
    <w:name w:val="网格型6"/>
    <w:basedOn w:val="8"/>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
    <w:name w:val="网格型7"/>
    <w:basedOn w:val="8"/>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网格型8"/>
    <w:basedOn w:val="8"/>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9"/>
    <w:basedOn w:val="8"/>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10"/>
    <w:basedOn w:val="8"/>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网格型11"/>
    <w:basedOn w:val="8"/>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网格型12"/>
    <w:basedOn w:val="8"/>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
    <w:name w:val="网格型13"/>
    <w:basedOn w:val="8"/>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2">
    <w:name w:val="标准文件_正文表标题"/>
    <w:next w:val="19"/>
    <w:qFormat/>
    <w:uiPriority w:val="0"/>
    <w:pPr>
      <w:numPr>
        <w:ilvl w:val="0"/>
        <w:numId w:val="2"/>
      </w:numPr>
      <w:tabs>
        <w:tab w:val="left" w:pos="0"/>
      </w:tabs>
      <w:spacing w:before="50" w:beforeLines="50" w:after="50" w:afterLines="50"/>
      <w:ind w:left="0"/>
      <w:jc w:val="center"/>
    </w:pPr>
    <w:rPr>
      <w:rFonts w:ascii="黑体" w:hAnsi="Times New Roman" w:eastAsia="黑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E5366-0479-4D12-B2E9-76D99A096D37}">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8</Pages>
  <Words>3351</Words>
  <Characters>3394</Characters>
  <Lines>25</Lines>
  <Paragraphs>7</Paragraphs>
  <TotalTime>1166</TotalTime>
  <ScaleCrop>false</ScaleCrop>
  <LinksUpToDate>false</LinksUpToDate>
  <CharactersWithSpaces>3420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2024-12-02T07:00:00Z</dcterms:created>
  <dc:creator>China</dc:creator>
  <cp:lastModifiedBy>苏布道</cp:lastModifiedBy>
  <dcterms:modified xsi:type="dcterms:W3CDTF">2025-11-17T09:10:36Z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eyJoZGlkIjoiYjliOTM4M2Y5YTRlZGZhOGZhMGUxNDFmMTJkMTRjMDciLCJ1c2VySWQiOiIyNTg3NzE1NTYifQ==</vt:lpwstr>
  </property>
  <property fmtid="{D5CDD505-2E9C-101B-9397-08002B2CF9AE}" pid="3" name="KSOProductBuildVer">
    <vt:lpwstr>2052-12.1.0.23542</vt:lpwstr>
  </property>
  <property fmtid="{D5CDD505-2E9C-101B-9397-08002B2CF9AE}" pid="4" name="ICV">
    <vt:lpwstr>8EEFF45081D74AC885BD3F4312779484_12</vt:lpwstr>
  </property>
</Properties>
</file>