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9F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4AFAB0">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49" w:name="_GoBack"/>
            <w:bookmarkEnd w:id="49"/>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97FDF1E">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08F9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9A304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C8595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3B35A4">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NMSP</w:t>
                  </w:r>
                  <w:r>
                    <w:fldChar w:fldCharType="end"/>
                  </w:r>
                  <w:bookmarkEnd w:id="1"/>
                </w:p>
              </w:tc>
            </w:tr>
          </w:tbl>
          <w:p w14:paraId="6BBB3BF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6714F7A2">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内蒙古标准发展促进会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A6CF4F1">
      <w:pPr>
        <w:pStyle w:val="199"/>
        <w:rPr>
          <w:lang w:val="fr-FR"/>
        </w:rPr>
      </w:pPr>
      <w:r>
        <w:rPr>
          <w:lang w:val="fr-FR"/>
        </w:rPr>
        <w:t>T/</w:t>
      </w:r>
      <w:r>
        <w:fldChar w:fldCharType="begin">
          <w:ffData>
            <w:name w:val="文字1"/>
            <w:enabled/>
            <w:calcOnExit w:val="0"/>
            <w:textInput>
              <w:default w:val="XXX"/>
            </w:textInput>
          </w:ffData>
        </w:fldChar>
      </w:r>
      <w:bookmarkStart w:id="5" w:name="文字1"/>
      <w:r>
        <w:rPr>
          <w:lang w:val="fr-FR"/>
        </w:rPr>
        <w:instrText xml:space="preserve"> FORMTEXT </w:instrText>
      </w:r>
      <w:r>
        <w:fldChar w:fldCharType="separate"/>
      </w:r>
      <w:r>
        <w:rPr>
          <w:rFonts w:hint="eastAsia"/>
          <w:lang w:val="fr-FR"/>
        </w:rPr>
        <w:t>NMSP</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0FD9B64">
      <w:pPr>
        <w:pStyle w:val="200"/>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8"/>
    </w:p>
    <w:p w14:paraId="0C3F1D01">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C486263">
      <w:pPr>
        <w:pStyle w:val="54"/>
        <w:framePr w:w="9639" w:h="6976" w:hRule="exact" w:hSpace="0" w:vSpace="0" w:wrap="around" w:hAnchor="page" w:y="6408"/>
        <w:jc w:val="center"/>
        <w:rPr>
          <w:rFonts w:hint="eastAsia" w:ascii="黑体" w:hAnsi="黑体" w:eastAsia="黑体"/>
          <w:b w:val="0"/>
          <w:bCs w:val="0"/>
          <w:w w:val="100"/>
          <w:lang w:val="fr-FR"/>
        </w:rPr>
      </w:pPr>
    </w:p>
    <w:p w14:paraId="2FF3648E">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液态乳生产加工碳水双足迹评价技术规范</w:t>
      </w:r>
      <w:r>
        <w:fldChar w:fldCharType="end"/>
      </w:r>
      <w:bookmarkEnd w:id="9"/>
    </w:p>
    <w:p w14:paraId="27656757">
      <w:pPr>
        <w:framePr w:w="9639" w:h="6974" w:hRule="exact" w:wrap="around" w:vAnchor="page" w:hAnchor="page" w:x="1419" w:y="6408" w:anchorLock="1"/>
        <w:ind w:left="-1418"/>
      </w:pPr>
    </w:p>
    <w:p w14:paraId="783A4094">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Specification for Carbon and Water Footprint Evaluation </w:t>
      </w:r>
    </w:p>
    <w:p w14:paraId="6DCC7502">
      <w:pPr>
        <w:pStyle w:val="129"/>
        <w:framePr w:w="9639" w:h="6974" w:hRule="exact" w:wrap="around" w:vAnchor="page" w:hAnchor="page" w:x="1419" w:y="6408" w:anchorLock="1"/>
        <w:textAlignment w:val="bottom"/>
        <w:rPr>
          <w:rFonts w:eastAsia="黑体"/>
          <w:szCs w:val="28"/>
        </w:rPr>
      </w:pPr>
      <w:r>
        <w:rPr>
          <w:rFonts w:hint="eastAsia" w:eastAsia="黑体"/>
          <w:szCs w:val="28"/>
        </w:rPr>
        <w:t>in Liquid Milk Production</w:t>
      </w:r>
      <w:r>
        <w:rPr>
          <w:rFonts w:eastAsia="黑体"/>
          <w:szCs w:val="28"/>
        </w:rPr>
        <w:fldChar w:fldCharType="end"/>
      </w:r>
      <w:bookmarkEnd w:id="10"/>
    </w:p>
    <w:p w14:paraId="57B1C8AF">
      <w:pPr>
        <w:framePr w:w="9639" w:h="6974" w:hRule="exact" w:wrap="around" w:vAnchor="page" w:hAnchor="page" w:x="1419" w:y="6408" w:anchorLock="1"/>
        <w:spacing w:line="760" w:lineRule="exact"/>
        <w:ind w:left="-1418"/>
      </w:pPr>
    </w:p>
    <w:p w14:paraId="5A6CBE42">
      <w:pPr>
        <w:pStyle w:val="129"/>
        <w:framePr w:w="9639" w:h="6974" w:hRule="exact" w:wrap="around" w:vAnchor="page" w:hAnchor="page" w:x="1419" w:y="6408" w:anchorLock="1"/>
        <w:textAlignment w:val="bottom"/>
        <w:rPr>
          <w:rFonts w:eastAsia="黑体"/>
          <w:szCs w:val="28"/>
        </w:rPr>
      </w:pPr>
    </w:p>
    <w:p w14:paraId="18CBDE45">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01AACF2">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A699C5F">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0A0EE42">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E13CA7">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E0DB56">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内蒙古标准发展促进会</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44B581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97E7EAF">
      <w:pPr>
        <w:pStyle w:val="93"/>
        <w:spacing w:before="900" w:after="360"/>
      </w:pPr>
      <w:bookmarkStart w:id="21" w:name="BookMark2"/>
      <w:r>
        <w:rPr>
          <w:rFonts w:hint="eastAsia"/>
          <w:spacing w:val="320"/>
        </w:rPr>
        <w:t>前</w:t>
      </w:r>
      <w:r>
        <w:rPr>
          <w:rFonts w:hint="eastAsia"/>
        </w:rPr>
        <w:t>言</w:t>
      </w:r>
    </w:p>
    <w:p w14:paraId="74CED8BC">
      <w:pPr>
        <w:pStyle w:val="60"/>
        <w:ind w:firstLine="420"/>
      </w:pPr>
      <w:r>
        <w:rPr>
          <w:rFonts w:hint="eastAsia"/>
        </w:rPr>
        <w:t>本文件按照GB/T 1.1—2020《标准化工作导则  第1部分：标准化文件的结构和起草规则》的规定起草。</w:t>
      </w:r>
    </w:p>
    <w:p w14:paraId="3E5DAA58">
      <w:pPr>
        <w:pStyle w:val="60"/>
        <w:ind w:firstLine="420"/>
      </w:pPr>
      <w:r>
        <w:rPr>
          <w:rFonts w:hint="eastAsia"/>
        </w:rPr>
        <w:t>本文件由内蒙古农业大学提出。</w:t>
      </w:r>
    </w:p>
    <w:p w14:paraId="2A5CCA29">
      <w:pPr>
        <w:pStyle w:val="60"/>
        <w:ind w:firstLine="420"/>
      </w:pPr>
      <w:r>
        <w:rPr>
          <w:rFonts w:hint="eastAsia"/>
        </w:rPr>
        <w:t>本文件由内蒙古标准发展促进会归口。</w:t>
      </w:r>
    </w:p>
    <w:p w14:paraId="44C458B7">
      <w:pPr>
        <w:pStyle w:val="60"/>
        <w:ind w:firstLine="420"/>
      </w:pPr>
      <w:r>
        <w:rPr>
          <w:rFonts w:hint="eastAsia"/>
        </w:rPr>
        <w:t>本文件起草单位：内蒙古伊利实业集团股份有限公司、内蒙古农业大学、内蒙古自治区质量和标准化研究院。</w:t>
      </w:r>
    </w:p>
    <w:p w14:paraId="3B8C4BCF">
      <w:pPr>
        <w:pStyle w:val="60"/>
        <w:ind w:firstLine="420"/>
      </w:pPr>
      <w:r>
        <w:rPr>
          <w:rFonts w:hint="eastAsia"/>
        </w:rPr>
        <w:t>本文件主要起草人：孟毅、王俊国、鄂晶晶、张悦。</w:t>
      </w:r>
    </w:p>
    <w:p w14:paraId="10450A2F">
      <w:pPr>
        <w:pStyle w:val="60"/>
        <w:ind w:firstLine="420"/>
      </w:pPr>
    </w:p>
    <w:p w14:paraId="43A47993">
      <w:pPr>
        <w:pStyle w:val="60"/>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17D8E7B4">
      <w:pPr>
        <w:spacing w:line="20" w:lineRule="exact"/>
        <w:jc w:val="center"/>
        <w:rPr>
          <w:rFonts w:hint="eastAsia" w:ascii="黑体" w:hAnsi="黑体" w:eastAsia="黑体"/>
          <w:sz w:val="32"/>
          <w:szCs w:val="32"/>
        </w:rPr>
      </w:pPr>
      <w:bookmarkStart w:id="22" w:name="BookMark4"/>
    </w:p>
    <w:p w14:paraId="773D9C0F">
      <w:pPr>
        <w:spacing w:line="20" w:lineRule="exact"/>
        <w:jc w:val="center"/>
        <w:rPr>
          <w:rFonts w:hint="eastAsia" w:ascii="黑体" w:hAnsi="黑体" w:eastAsia="黑体"/>
          <w:sz w:val="32"/>
          <w:szCs w:val="32"/>
        </w:rPr>
      </w:pPr>
    </w:p>
    <w:sdt>
      <w:sdtPr>
        <w:tag w:val="NEW_STAND_NAME"/>
        <w:id w:val="595910757"/>
        <w:lock w:val="sdtLocked"/>
        <w:placeholder>
          <w:docPart w:val="2BB95B84C3C349649CFC8E80EE837D7E"/>
        </w:placeholder>
      </w:sdtPr>
      <w:sdtContent>
        <w:p w14:paraId="1198EA15">
          <w:pPr>
            <w:pStyle w:val="181"/>
            <w:spacing w:before="240" w:beforeLines="100" w:after="528" w:afterLines="220"/>
            <w:rPr>
              <w:rFonts w:hint="eastAsia"/>
            </w:rPr>
          </w:pPr>
          <w:bookmarkStart w:id="23" w:name="NEW_STAND_NAME"/>
          <w:r>
            <w:rPr>
              <w:rFonts w:hint="eastAsia"/>
            </w:rPr>
            <w:t>液态乳生产加工碳水双足迹评价技术规范</w:t>
          </w:r>
        </w:p>
      </w:sdtContent>
    </w:sdt>
    <w:bookmarkEnd w:id="23"/>
    <w:p w14:paraId="3258DA35">
      <w:pPr>
        <w:pStyle w:val="108"/>
        <w:spacing w:before="240" w:after="240"/>
      </w:pPr>
      <w:bookmarkStart w:id="24" w:name="_Toc17233333"/>
      <w:bookmarkStart w:id="25" w:name="_Toc26986530"/>
      <w:bookmarkStart w:id="26" w:name="_Toc26986771"/>
      <w:bookmarkStart w:id="27" w:name="_Toc26718930"/>
      <w:bookmarkStart w:id="28" w:name="_Toc97192964"/>
      <w:bookmarkStart w:id="29" w:name="_Toc26648465"/>
      <w:bookmarkStart w:id="30" w:name="_Toc24884211"/>
      <w:bookmarkStart w:id="31" w:name="_Toc17233325"/>
      <w:bookmarkStart w:id="32" w:name="_Toc24884218"/>
      <w:r>
        <w:rPr>
          <w:rFonts w:hint="eastAsia"/>
        </w:rPr>
        <w:t>范围</w:t>
      </w:r>
      <w:bookmarkEnd w:id="24"/>
      <w:bookmarkEnd w:id="25"/>
      <w:bookmarkEnd w:id="26"/>
      <w:bookmarkEnd w:id="27"/>
      <w:bookmarkEnd w:id="28"/>
      <w:bookmarkEnd w:id="29"/>
      <w:bookmarkEnd w:id="30"/>
      <w:bookmarkEnd w:id="31"/>
      <w:bookmarkEnd w:id="32"/>
    </w:p>
    <w:p w14:paraId="15B7EE09">
      <w:pPr>
        <w:pStyle w:val="60"/>
        <w:ind w:firstLine="420"/>
      </w:pPr>
      <w:bookmarkStart w:id="33" w:name="_Toc26648466"/>
      <w:bookmarkStart w:id="34" w:name="_Toc24884219"/>
      <w:bookmarkStart w:id="35" w:name="_Toc17233334"/>
      <w:bookmarkStart w:id="36" w:name="_Toc17233326"/>
      <w:bookmarkStart w:id="37" w:name="_Toc24884212"/>
      <w:r>
        <w:rPr>
          <w:rFonts w:hint="eastAsia"/>
        </w:rPr>
        <w:t>本标准规定了液态乳生产加工过程中碳足迹与水足迹评价（以下简称“碳水双足迹”）的术语和定义、功能单位、系统边界、数据收集要求及结果报告规则。</w:t>
      </w:r>
    </w:p>
    <w:p w14:paraId="5C973BE6">
      <w:pPr>
        <w:pStyle w:val="60"/>
        <w:ind w:firstLine="420"/>
        <w:rPr>
          <w:highlight w:val="none"/>
        </w:rPr>
      </w:pPr>
      <w:r>
        <w:rPr>
          <w:rFonts w:hint="eastAsia"/>
          <w:highlight w:val="none"/>
        </w:rPr>
        <w:t>本标准适用于巴氏杀菌乳、灭菌乳、调制乳的产品部分碳水足迹，包括前端养殖（饲料种植、奶牛饲养）、原奶运输、生产加工（杀菌、灌装等）、包装、仓储运输及分销环节。</w:t>
      </w:r>
    </w:p>
    <w:p w14:paraId="30E1CA6F">
      <w:pPr>
        <w:pStyle w:val="108"/>
        <w:spacing w:before="240" w:after="240"/>
      </w:pPr>
      <w:bookmarkStart w:id="38" w:name="_Toc26986772"/>
      <w:bookmarkStart w:id="39" w:name="_Toc26986531"/>
      <w:bookmarkStart w:id="40" w:name="_Toc97192965"/>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3A65B70831274019991C0A1D4F5069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11FE308">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559A87">
      <w:pPr>
        <w:pStyle w:val="108"/>
        <w:numPr>
          <w:ilvl w:val="1"/>
          <w:numId w:val="0"/>
        </w:numPr>
        <w:spacing w:before="0" w:beforeLines="0" w:after="0" w:afterLines="0"/>
        <w:ind w:firstLine="420" w:firstLineChars="200"/>
        <w:rPr>
          <w:rFonts w:ascii="宋体" w:eastAsia="宋体"/>
        </w:rPr>
      </w:pPr>
      <w:r>
        <w:rPr>
          <w:rFonts w:hint="eastAsia" w:ascii="宋体" w:eastAsia="宋体"/>
        </w:rPr>
        <w:t>GB/T 24021</w:t>
      </w:r>
      <w:r>
        <w:rPr>
          <w:rFonts w:ascii="宋体" w:eastAsia="宋体"/>
        </w:rPr>
        <w:t xml:space="preserve"> </w:t>
      </w:r>
      <w:r>
        <w:rPr>
          <w:rFonts w:hint="eastAsia" w:ascii="宋体" w:eastAsia="宋体"/>
        </w:rPr>
        <w:t xml:space="preserve"> 环境管理 环境标志和声明 自我环境声明 (II型环境标志)</w:t>
      </w:r>
    </w:p>
    <w:p w14:paraId="3215E0BF">
      <w:pPr>
        <w:pStyle w:val="60"/>
        <w:ind w:firstLine="420"/>
      </w:pPr>
      <w:r>
        <w:rPr>
          <w:rFonts w:hint="eastAsia"/>
        </w:rPr>
        <w:t xml:space="preserve">GB/T 24040 </w:t>
      </w:r>
      <w:r>
        <w:t xml:space="preserve"> </w:t>
      </w:r>
      <w:r>
        <w:rPr>
          <w:rFonts w:hint="eastAsia"/>
        </w:rPr>
        <w:t>环境管理 生命周期评价 原则与框架</w:t>
      </w:r>
    </w:p>
    <w:p w14:paraId="0C5BBF9B">
      <w:pPr>
        <w:pStyle w:val="60"/>
        <w:ind w:firstLine="420"/>
      </w:pPr>
      <w:r>
        <w:rPr>
          <w:rFonts w:hint="eastAsia"/>
        </w:rPr>
        <w:t xml:space="preserve">GB/T 24044 </w:t>
      </w:r>
      <w:r>
        <w:t xml:space="preserve"> </w:t>
      </w:r>
      <w:r>
        <w:rPr>
          <w:rFonts w:hint="eastAsia"/>
        </w:rPr>
        <w:t>环境管理 生命周期评价 要求与指南</w:t>
      </w:r>
    </w:p>
    <w:p w14:paraId="36D243F9">
      <w:pPr>
        <w:pStyle w:val="60"/>
        <w:ind w:firstLine="420"/>
      </w:pPr>
      <w:r>
        <w:rPr>
          <w:rFonts w:hint="eastAsia"/>
        </w:rPr>
        <w:t>GB/T 24067  温室气体 产品碳足迹 量化要求和指南</w:t>
      </w:r>
    </w:p>
    <w:p w14:paraId="3B8676CF">
      <w:pPr>
        <w:pStyle w:val="60"/>
        <w:ind w:firstLine="420"/>
      </w:pPr>
      <w:r>
        <w:rPr>
          <w:rFonts w:hint="eastAsia"/>
        </w:rPr>
        <w:t>GB/T 33859  环境管理 水足迹 原则、要求与指南</w:t>
      </w:r>
    </w:p>
    <w:p w14:paraId="3088A463">
      <w:pPr>
        <w:pStyle w:val="60"/>
        <w:ind w:firstLine="420"/>
      </w:pPr>
      <w:r>
        <w:rPr>
          <w:rFonts w:hint="eastAsia"/>
        </w:rPr>
        <w:t xml:space="preserve">GB/T 33262 </w:t>
      </w:r>
      <w:r>
        <w:t xml:space="preserve"> </w:t>
      </w:r>
      <w:r>
        <w:rPr>
          <w:rFonts w:hint="eastAsia"/>
        </w:rPr>
        <w:t>水足迹评价技术导则</w:t>
      </w:r>
    </w:p>
    <w:p w14:paraId="051744DB">
      <w:pPr>
        <w:pStyle w:val="60"/>
        <w:ind w:firstLine="420"/>
      </w:pPr>
      <w:r>
        <w:rPr>
          <w:rFonts w:hint="eastAsia"/>
        </w:rPr>
        <w:t xml:space="preserve">JJF 1070-2005 </w:t>
      </w:r>
      <w:r>
        <w:t xml:space="preserve"> </w:t>
      </w:r>
      <w:r>
        <w:rPr>
          <w:rFonts w:hint="eastAsia"/>
        </w:rPr>
        <w:t>定量包装商品净含量计量检验规则</w:t>
      </w:r>
    </w:p>
    <w:p w14:paraId="68B945B2">
      <w:pPr>
        <w:pStyle w:val="108"/>
        <w:spacing w:before="240" w:after="240"/>
      </w:pPr>
      <w:bookmarkStart w:id="42" w:name="_Toc97192966"/>
      <w:r>
        <w:rPr>
          <w:rFonts w:hint="eastAsia"/>
          <w:szCs w:val="21"/>
        </w:rPr>
        <w:t>术语和定义</w:t>
      </w:r>
      <w:bookmarkEnd w:id="42"/>
    </w:p>
    <w:sdt>
      <w:sdtPr>
        <w:id w:val="-1909835108"/>
        <w:placeholder>
          <w:docPart w:val="58761ECAE7374932A7B18CEA3827C2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6B3AA16">
          <w:pPr>
            <w:pStyle w:val="60"/>
            <w:ind w:firstLine="420"/>
          </w:pPr>
          <w:bookmarkStart w:id="43" w:name="_Toc26986532"/>
          <w:bookmarkEnd w:id="43"/>
          <w:r>
            <w:t>GB/T 24067界定的以及下列术语和定义适用于本文件。</w:t>
          </w:r>
        </w:p>
      </w:sdtContent>
    </w:sdt>
    <w:p w14:paraId="5590E176">
      <w:pPr>
        <w:pStyle w:val="227"/>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液态乳制品 liquid milk products</w:t>
      </w:r>
    </w:p>
    <w:p w14:paraId="3226530B">
      <w:pPr>
        <w:pStyle w:val="60"/>
        <w:ind w:firstLine="420"/>
      </w:pPr>
      <w:r>
        <w:rPr>
          <w:rFonts w:hint="eastAsia"/>
        </w:rPr>
        <w:t>以生鲜乳（≥80%）为主要原料，经巴氏杀菌、灭菌或调制工艺制成的液态产品。</w:t>
      </w:r>
    </w:p>
    <w:p w14:paraId="034CAB69">
      <w:pPr>
        <w:pStyle w:val="183"/>
        <w:rPr>
          <w:rFonts w:hint="eastAsia" w:hAnsi="宋体"/>
        </w:rPr>
      </w:pPr>
      <w:r>
        <w:rPr>
          <w:rFonts w:hint="eastAsia" w:hAnsi="宋体"/>
        </w:rPr>
        <w:t>包括巴氏杀菌乳、灭菌乳、调制乳。</w:t>
      </w:r>
    </w:p>
    <w:p w14:paraId="2F588987">
      <w:pPr>
        <w:pStyle w:val="227"/>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碳水双足迹 carbon-water dual footprint</w:t>
      </w:r>
    </w:p>
    <w:p w14:paraId="72A0C43A">
      <w:pPr>
        <w:pStyle w:val="60"/>
        <w:ind w:firstLine="420"/>
      </w:pPr>
      <w:r>
        <w:rPr>
          <w:rFonts w:hint="eastAsia"/>
        </w:rPr>
        <w:t>单位质量</w:t>
      </w:r>
      <w:r>
        <w:rPr>
          <w:rFonts w:hint="eastAsia"/>
          <w:highlight w:val="none"/>
        </w:rPr>
        <w:t>产品</w:t>
      </w:r>
      <w:r>
        <w:rPr>
          <w:rFonts w:hint="eastAsia"/>
        </w:rPr>
        <w:t>在全生命周期内产生的温室气体排放量（碳足迹）与水资源消耗量（水足迹）的集成评价指标。</w:t>
      </w:r>
    </w:p>
    <w:p w14:paraId="701A7ED8">
      <w:pPr>
        <w:pStyle w:val="183"/>
        <w:rPr>
          <w:rFonts w:hint="eastAsia" w:hAnsi="宋体"/>
        </w:rPr>
      </w:pPr>
    </w:p>
    <w:p w14:paraId="43812AD1">
      <w:pPr>
        <w:pStyle w:val="227"/>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rPr>
        <w:t>产品</w:t>
      </w:r>
      <w:r>
        <w:rPr>
          <w:rFonts w:ascii="黑体" w:hAnsi="黑体" w:eastAsia="黑体"/>
        </w:rPr>
        <w:t>碳足迹</w:t>
      </w:r>
      <w:r>
        <w:rPr>
          <w:rFonts w:hint="eastAsia" w:ascii="黑体" w:hAnsi="黑体" w:eastAsia="黑体"/>
        </w:rPr>
        <w:t xml:space="preserve"> </w:t>
      </w:r>
      <w:r>
        <w:rPr>
          <w:rFonts w:ascii="黑体" w:hAnsi="黑体" w:eastAsia="黑体"/>
        </w:rPr>
        <w:t xml:space="preserve"> carbon footprint of a product;CFP</w:t>
      </w:r>
    </w:p>
    <w:p w14:paraId="4D5461A0">
      <w:pPr>
        <w:pStyle w:val="60"/>
        <w:ind w:firstLine="420"/>
      </w:pPr>
      <w:r>
        <w:rPr>
          <w:rFonts w:hint="eastAsia"/>
        </w:rPr>
        <w:t>产品</w:t>
      </w:r>
      <w:r>
        <w:t>系统</w:t>
      </w:r>
      <w:r>
        <w:rPr>
          <w:rFonts w:hint="eastAsia"/>
        </w:rPr>
        <w:t>中</w:t>
      </w:r>
      <w:r>
        <w:t>的</w:t>
      </w:r>
      <w:r>
        <w:rPr>
          <w:rFonts w:hint="eastAsia"/>
        </w:rPr>
        <w:t>GHG排放量</w:t>
      </w:r>
      <w:r>
        <w:t>和</w:t>
      </w:r>
      <w:r>
        <w:rPr>
          <w:rFonts w:hint="eastAsia"/>
        </w:rPr>
        <w:t>GHG清除</w:t>
      </w:r>
      <w:r>
        <w:t>量之和，</w:t>
      </w:r>
      <w:r>
        <w:rPr>
          <w:rFonts w:hint="eastAsia"/>
        </w:rPr>
        <w:t>以</w:t>
      </w:r>
      <w:r>
        <w:t>二氧化碳当量表示</w:t>
      </w:r>
      <w:r>
        <w:rPr>
          <w:rFonts w:hint="eastAsia"/>
        </w:rPr>
        <w:t>，</w:t>
      </w:r>
      <w:r>
        <w:t>并基于</w:t>
      </w:r>
      <w:r>
        <w:rPr>
          <w:rFonts w:hint="eastAsia"/>
        </w:rPr>
        <w:t>气候</w:t>
      </w:r>
      <w:r>
        <w:t>变化</w:t>
      </w:r>
      <w:r>
        <w:rPr>
          <w:rFonts w:hint="eastAsia"/>
        </w:rPr>
        <w:t>这一</w:t>
      </w:r>
      <w:r>
        <w:t>单一环境</w:t>
      </w:r>
      <w:r>
        <w:rPr>
          <w:rFonts w:hint="eastAsia"/>
        </w:rPr>
        <w:t>影响类型</w:t>
      </w:r>
      <w:r>
        <w:t>进行生命周期</w:t>
      </w:r>
      <w:r>
        <w:rPr>
          <w:rFonts w:hint="eastAsia"/>
        </w:rPr>
        <w:t>评价</w:t>
      </w:r>
      <w:r>
        <w:t>。</w:t>
      </w:r>
    </w:p>
    <w:p w14:paraId="39321ED4">
      <w:pPr>
        <w:pStyle w:val="184"/>
      </w:pPr>
      <w:r>
        <w:rPr>
          <w:rFonts w:hint="eastAsia"/>
        </w:rPr>
        <w:t>产品</w:t>
      </w:r>
      <w:r>
        <w:t>碳足迹可用于</w:t>
      </w:r>
      <w:r>
        <w:rPr>
          <w:rFonts w:hint="eastAsia"/>
        </w:rPr>
        <w:t>不同的图类</w:t>
      </w:r>
      <w:r>
        <w:t>区分</w:t>
      </w:r>
      <w:r>
        <w:rPr>
          <w:rFonts w:hint="eastAsia"/>
        </w:rPr>
        <w:t>和</w:t>
      </w:r>
      <w:r>
        <w:t>标示具体的</w:t>
      </w:r>
      <w:r>
        <w:rPr>
          <w:rFonts w:hint="eastAsia"/>
        </w:rPr>
        <w:t>GHG排放量</w:t>
      </w:r>
      <w:r>
        <w:t>和清除量</w:t>
      </w:r>
      <w:r>
        <w:rPr>
          <w:rFonts w:hint="eastAsia"/>
        </w:rPr>
        <w:t>，产品</w:t>
      </w:r>
      <w:r>
        <w:t>碳足迹也可</w:t>
      </w:r>
      <w:r>
        <w:rPr>
          <w:rFonts w:hint="eastAsia"/>
        </w:rPr>
        <w:t>被</w:t>
      </w:r>
      <w:r>
        <w:t>分解</w:t>
      </w:r>
      <w:r>
        <w:rPr>
          <w:rFonts w:hint="eastAsia"/>
        </w:rPr>
        <w:t>到</w:t>
      </w:r>
      <w:r>
        <w:t>其他生命周期</w:t>
      </w:r>
      <w:r>
        <w:rPr>
          <w:rFonts w:hint="eastAsia"/>
        </w:rPr>
        <w:t>的</w:t>
      </w:r>
      <w:r>
        <w:t>各个阶段。</w:t>
      </w:r>
    </w:p>
    <w:p w14:paraId="52D56D7A">
      <w:pPr>
        <w:pStyle w:val="184"/>
      </w:pPr>
      <w:r>
        <w:rPr>
          <w:rFonts w:hint="eastAsia"/>
        </w:rPr>
        <w:t>产品</w:t>
      </w:r>
      <w:r>
        <w:t>碳足迹研究报告中</w:t>
      </w:r>
      <w:r>
        <w:rPr>
          <w:rFonts w:hint="eastAsia"/>
        </w:rPr>
        <w:t>记录</w:t>
      </w:r>
      <w:r>
        <w:t>了产品碳足迹</w:t>
      </w:r>
      <w:r>
        <w:rPr>
          <w:rFonts w:hint="eastAsia"/>
        </w:rPr>
        <w:t>的</w:t>
      </w:r>
      <w:r>
        <w:t>量化结果，</w:t>
      </w:r>
      <w:r>
        <w:rPr>
          <w:rFonts w:hint="eastAsia"/>
        </w:rPr>
        <w:t>以</w:t>
      </w:r>
      <w:r>
        <w:t>每个功能单位</w:t>
      </w:r>
      <w:r>
        <w:rPr>
          <w:rFonts w:hint="eastAsia"/>
        </w:rPr>
        <w:t>的</w:t>
      </w:r>
      <w:r>
        <w:t>二氧化碳当量</w:t>
      </w:r>
      <w:r>
        <w:rPr>
          <w:rFonts w:hint="eastAsia"/>
        </w:rPr>
        <w:t>表示</w:t>
      </w:r>
      <w:r>
        <w:t>。</w:t>
      </w:r>
    </w:p>
    <w:p w14:paraId="60D5BF94">
      <w:pPr>
        <w:pStyle w:val="184"/>
        <w:numPr>
          <w:ilvl w:val="0"/>
          <w:numId w:val="0"/>
        </w:numPr>
        <w:ind w:left="363"/>
        <w:rPr>
          <w:sz w:val="21"/>
          <w:szCs w:val="21"/>
        </w:rPr>
      </w:pPr>
      <w:r>
        <w:rPr>
          <w:sz w:val="21"/>
          <w:szCs w:val="21"/>
        </w:rPr>
        <w:t>[</w:t>
      </w:r>
      <w:r>
        <w:rPr>
          <w:rFonts w:hint="eastAsia"/>
          <w:sz w:val="21"/>
          <w:szCs w:val="21"/>
        </w:rPr>
        <w:t>来源：</w:t>
      </w:r>
      <w:r>
        <w:rPr>
          <w:sz w:val="21"/>
          <w:szCs w:val="21"/>
        </w:rPr>
        <w:t>GB/T</w:t>
      </w:r>
      <w:r>
        <w:rPr>
          <w:rFonts w:hint="eastAsia"/>
          <w:sz w:val="21"/>
          <w:szCs w:val="21"/>
        </w:rPr>
        <w:t xml:space="preserve"> </w:t>
      </w:r>
      <w:r>
        <w:rPr>
          <w:sz w:val="21"/>
          <w:szCs w:val="21"/>
        </w:rPr>
        <w:t>2</w:t>
      </w:r>
      <w:r>
        <w:rPr>
          <w:rFonts w:hint="eastAsia"/>
          <w:sz w:val="21"/>
          <w:szCs w:val="21"/>
        </w:rPr>
        <w:t>4067-20</w:t>
      </w:r>
      <w:r>
        <w:rPr>
          <w:sz w:val="21"/>
          <w:szCs w:val="21"/>
        </w:rPr>
        <w:t>24</w:t>
      </w:r>
      <w:r>
        <w:rPr>
          <w:rFonts w:hint="eastAsia"/>
          <w:sz w:val="21"/>
          <w:szCs w:val="21"/>
        </w:rPr>
        <w:t>，3</w:t>
      </w:r>
      <w:r>
        <w:rPr>
          <w:sz w:val="21"/>
          <w:szCs w:val="21"/>
        </w:rPr>
        <w:t>.1.1]</w:t>
      </w:r>
    </w:p>
    <w:p w14:paraId="03237DF1">
      <w:pPr>
        <w:pStyle w:val="227"/>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rPr>
        <w:t>产品</w:t>
      </w:r>
      <w:r>
        <w:rPr>
          <w:rFonts w:ascii="黑体" w:hAnsi="黑体" w:eastAsia="黑体"/>
        </w:rPr>
        <w:t>部分碳足迹</w:t>
      </w:r>
      <w:r>
        <w:rPr>
          <w:rFonts w:hint="eastAsia" w:ascii="黑体" w:hAnsi="黑体" w:eastAsia="黑体"/>
        </w:rPr>
        <w:t xml:space="preserve">  </w:t>
      </w:r>
      <w:r>
        <w:rPr>
          <w:rFonts w:ascii="黑体" w:hAnsi="黑体" w:eastAsia="黑体"/>
        </w:rPr>
        <w:t>partial carbon footprint of a product; partial CFP</w:t>
      </w:r>
    </w:p>
    <w:p w14:paraId="03A32C9E">
      <w:pPr>
        <w:pStyle w:val="60"/>
        <w:ind w:firstLine="420"/>
      </w:pPr>
      <w:r>
        <w:rPr>
          <w:rFonts w:hint="eastAsia"/>
        </w:rPr>
        <w:t>在</w:t>
      </w:r>
      <w:r>
        <w:t>产品系统生命周期内</w:t>
      </w:r>
      <w:r>
        <w:rPr>
          <w:rFonts w:hint="eastAsia"/>
        </w:rPr>
        <w:t>的</w:t>
      </w:r>
      <w:r>
        <w:t>一个或多个</w:t>
      </w:r>
      <w:r>
        <w:rPr>
          <w:rFonts w:hint="eastAsia"/>
        </w:rPr>
        <w:t>选定</w:t>
      </w:r>
      <w:r>
        <w:t>阶段</w:t>
      </w:r>
      <w:r>
        <w:rPr>
          <w:rFonts w:hint="eastAsia"/>
        </w:rPr>
        <w:t>或</w:t>
      </w:r>
      <w:r>
        <w:t>过程中</w:t>
      </w:r>
      <w:r>
        <w:rPr>
          <w:rFonts w:hint="eastAsia"/>
        </w:rPr>
        <w:t>的GHG排放量和GHG清除量之和</w:t>
      </w:r>
      <w:r>
        <w:t>，</w:t>
      </w:r>
      <w:r>
        <w:rPr>
          <w:rFonts w:hint="eastAsia"/>
        </w:rPr>
        <w:t>并以</w:t>
      </w:r>
      <w:r>
        <w:t>二氧化碳当量表示。</w:t>
      </w:r>
    </w:p>
    <w:p w14:paraId="25F3675E">
      <w:pPr>
        <w:pStyle w:val="184"/>
        <w:numPr>
          <w:ilvl w:val="0"/>
          <w:numId w:val="32"/>
        </w:numPr>
      </w:pPr>
      <w:r>
        <w:rPr>
          <w:rFonts w:hint="eastAsia"/>
        </w:rPr>
        <w:t>产品</w:t>
      </w:r>
      <w:r>
        <w:t>部分碳足迹是</w:t>
      </w:r>
      <w:r>
        <w:rPr>
          <w:rFonts w:hint="eastAsia"/>
        </w:rPr>
        <w:t>基于或</w:t>
      </w:r>
      <w:r>
        <w:t>由</w:t>
      </w:r>
      <w:r>
        <w:rPr>
          <w:rFonts w:hint="eastAsia"/>
        </w:rPr>
        <w:t>与特定过程或</w:t>
      </w:r>
      <w:r>
        <w:t>足迹</w:t>
      </w:r>
      <w:r>
        <w:rPr>
          <w:rFonts w:hint="eastAsia"/>
        </w:rPr>
        <w:t>信息模型</w:t>
      </w:r>
      <w:r>
        <w:t>有关</w:t>
      </w:r>
      <w:r>
        <w:rPr>
          <w:rFonts w:hint="eastAsia"/>
        </w:rPr>
        <w:t>的</w:t>
      </w:r>
      <w:r>
        <w:t>数据汇集而成</w:t>
      </w:r>
      <w:r>
        <w:rPr>
          <w:rFonts w:hint="eastAsia"/>
        </w:rPr>
        <w:t>，</w:t>
      </w:r>
      <w:r>
        <w:t>这些数据</w:t>
      </w:r>
      <w:r>
        <w:rPr>
          <w:rFonts w:hint="eastAsia"/>
        </w:rPr>
        <w:t>是</w:t>
      </w:r>
      <w:r>
        <w:t>产品系统</w:t>
      </w:r>
      <w:r>
        <w:rPr>
          <w:rFonts w:hint="eastAsia"/>
        </w:rPr>
        <w:t>的</w:t>
      </w:r>
      <w:r>
        <w:t>一部分</w:t>
      </w:r>
      <w:r>
        <w:rPr>
          <w:rFonts w:hint="eastAsia"/>
        </w:rPr>
        <w:t>，</w:t>
      </w:r>
      <w:r>
        <w:t>可作为产品碳足迹</w:t>
      </w:r>
      <w:r>
        <w:rPr>
          <w:rFonts w:hint="eastAsia"/>
        </w:rPr>
        <w:t>量化</w:t>
      </w:r>
      <w:r>
        <w:t>的基础</w:t>
      </w:r>
      <w:r>
        <w:rPr>
          <w:rFonts w:hint="eastAsia"/>
        </w:rPr>
        <w:t>。</w:t>
      </w:r>
    </w:p>
    <w:p w14:paraId="05D153F0">
      <w:pPr>
        <w:pStyle w:val="184"/>
        <w:numPr>
          <w:ilvl w:val="0"/>
          <w:numId w:val="32"/>
        </w:numPr>
      </w:pPr>
      <w:r>
        <w:rPr>
          <w:rFonts w:hint="eastAsia"/>
        </w:rPr>
        <w:t>“足迹</w:t>
      </w:r>
      <w:r>
        <w:t>信息</w:t>
      </w:r>
      <w:r>
        <w:rPr>
          <w:rFonts w:hint="eastAsia"/>
        </w:rPr>
        <w:t>模型”的</w:t>
      </w:r>
      <w:r>
        <w:t>定义</w:t>
      </w:r>
      <w:r>
        <w:rPr>
          <w:rFonts w:hint="eastAsia"/>
        </w:rPr>
        <w:t>见ISO</w:t>
      </w:r>
      <w:r>
        <w:t xml:space="preserve"> 14026</w:t>
      </w:r>
      <w:r>
        <w:rPr>
          <w:rFonts w:hint="eastAsia"/>
        </w:rPr>
        <w:t>:2017,3.1.4。</w:t>
      </w:r>
    </w:p>
    <w:p w14:paraId="4A8DDDC4">
      <w:pPr>
        <w:pStyle w:val="184"/>
        <w:numPr>
          <w:ilvl w:val="0"/>
          <w:numId w:val="32"/>
        </w:numPr>
      </w:pPr>
      <w:r>
        <w:rPr>
          <w:rFonts w:hint="eastAsia"/>
        </w:rPr>
        <w:t>产品</w:t>
      </w:r>
      <w:r>
        <w:t>碳足迹研究报告中</w:t>
      </w:r>
      <w:r>
        <w:rPr>
          <w:rFonts w:hint="eastAsia"/>
        </w:rPr>
        <w:t>记录</w:t>
      </w:r>
      <w:r>
        <w:t>了产品</w:t>
      </w:r>
      <w:r>
        <w:rPr>
          <w:rFonts w:hint="eastAsia"/>
        </w:rPr>
        <w:t>部分</w:t>
      </w:r>
      <w:r>
        <w:t>碳足迹</w:t>
      </w:r>
      <w:r>
        <w:rPr>
          <w:rFonts w:hint="eastAsia"/>
        </w:rPr>
        <w:t>的</w:t>
      </w:r>
      <w:r>
        <w:t>量化结果</w:t>
      </w:r>
      <w:r>
        <w:rPr>
          <w:rFonts w:hint="eastAsia"/>
        </w:rPr>
        <w:t>，</w:t>
      </w:r>
      <w:r>
        <w:t>以每个</w:t>
      </w:r>
      <w:r>
        <w:rPr>
          <w:rFonts w:hint="eastAsia"/>
        </w:rPr>
        <w:t>声明</w:t>
      </w:r>
      <w:r>
        <w:t>单位</w:t>
      </w:r>
      <w:r>
        <w:rPr>
          <w:rFonts w:hint="eastAsia"/>
        </w:rPr>
        <w:t>的</w:t>
      </w:r>
      <w:r>
        <w:t>二氧化碳当量</w:t>
      </w:r>
      <w:r>
        <w:rPr>
          <w:rFonts w:hint="eastAsia"/>
        </w:rPr>
        <w:t>表示</w:t>
      </w:r>
      <w:r>
        <w:t>。</w:t>
      </w:r>
    </w:p>
    <w:p w14:paraId="3F81738B">
      <w:pPr>
        <w:pStyle w:val="184"/>
        <w:numPr>
          <w:ilvl w:val="0"/>
          <w:numId w:val="0"/>
        </w:numPr>
        <w:ind w:left="363"/>
        <w:rPr>
          <w:sz w:val="21"/>
          <w:szCs w:val="21"/>
        </w:rPr>
      </w:pPr>
      <w:r>
        <w:rPr>
          <w:sz w:val="21"/>
          <w:szCs w:val="21"/>
        </w:rPr>
        <w:t>[</w:t>
      </w:r>
      <w:r>
        <w:rPr>
          <w:rFonts w:hint="eastAsia"/>
          <w:sz w:val="21"/>
          <w:szCs w:val="21"/>
        </w:rPr>
        <w:t>来源：</w:t>
      </w:r>
      <w:r>
        <w:rPr>
          <w:sz w:val="21"/>
          <w:szCs w:val="21"/>
        </w:rPr>
        <w:t>GB/T</w:t>
      </w:r>
      <w:r>
        <w:rPr>
          <w:rFonts w:hint="eastAsia"/>
          <w:sz w:val="21"/>
          <w:szCs w:val="21"/>
        </w:rPr>
        <w:t xml:space="preserve"> </w:t>
      </w:r>
      <w:r>
        <w:rPr>
          <w:sz w:val="21"/>
          <w:szCs w:val="21"/>
        </w:rPr>
        <w:t>2</w:t>
      </w:r>
      <w:r>
        <w:rPr>
          <w:rFonts w:hint="eastAsia"/>
          <w:sz w:val="21"/>
          <w:szCs w:val="21"/>
        </w:rPr>
        <w:t>4067-20</w:t>
      </w:r>
      <w:r>
        <w:rPr>
          <w:sz w:val="21"/>
          <w:szCs w:val="21"/>
        </w:rPr>
        <w:t>24</w:t>
      </w:r>
      <w:r>
        <w:rPr>
          <w:rFonts w:hint="eastAsia"/>
          <w:sz w:val="21"/>
          <w:szCs w:val="21"/>
        </w:rPr>
        <w:t>，3</w:t>
      </w:r>
      <w:r>
        <w:rPr>
          <w:sz w:val="21"/>
          <w:szCs w:val="21"/>
        </w:rPr>
        <w:t>.1.2]</w:t>
      </w:r>
    </w:p>
    <w:p w14:paraId="643A7AA7">
      <w:pPr>
        <w:pStyle w:val="227"/>
        <w:ind w:left="420" w:hanging="420" w:hangingChars="200"/>
        <w:rPr>
          <w:rFonts w:hint="eastAsia" w:ascii="黑体" w:hAnsi="黑体" w:eastAsia="黑体"/>
        </w:rPr>
      </w:pPr>
      <w:r>
        <w:rPr>
          <w:rFonts w:hint="eastAsia" w:ascii="黑体" w:hAnsi="黑体" w:eastAsia="黑体"/>
        </w:rPr>
        <w:t>产品</w:t>
      </w:r>
      <w:r>
        <w:rPr>
          <w:rFonts w:ascii="黑体" w:hAnsi="黑体" w:eastAsia="黑体"/>
        </w:rPr>
        <w:t>种类</w:t>
      </w:r>
      <w:r>
        <w:rPr>
          <w:rFonts w:hint="eastAsia" w:ascii="黑体" w:hAnsi="黑体" w:eastAsia="黑体"/>
        </w:rPr>
        <w:t xml:space="preserve"> </w:t>
      </w:r>
      <w:r>
        <w:rPr>
          <w:rFonts w:ascii="黑体" w:hAnsi="黑体" w:eastAsia="黑体"/>
        </w:rPr>
        <w:t xml:space="preserve"> product category</w:t>
      </w:r>
    </w:p>
    <w:p w14:paraId="32804CBC">
      <w:pPr>
        <w:pStyle w:val="60"/>
        <w:ind w:firstLine="420"/>
      </w:pPr>
      <w:r>
        <w:rPr>
          <w:rFonts w:hint="eastAsia"/>
        </w:rPr>
        <w:t>具有</w:t>
      </w:r>
      <w:r>
        <w:t>同等功能</w:t>
      </w:r>
      <w:r>
        <w:rPr>
          <w:rFonts w:hint="eastAsia"/>
        </w:rPr>
        <w:t>的</w:t>
      </w:r>
      <w:r>
        <w:t>产品</w:t>
      </w:r>
      <w:r>
        <w:rPr>
          <w:rFonts w:hint="eastAsia"/>
        </w:rPr>
        <w:t>群组</w:t>
      </w:r>
      <w:r>
        <w:t>。</w:t>
      </w:r>
    </w:p>
    <w:p w14:paraId="7F0C89A1">
      <w:pPr>
        <w:pStyle w:val="60"/>
        <w:ind w:firstLine="420"/>
      </w:pPr>
      <w:r>
        <w:t>[</w:t>
      </w:r>
      <w:r>
        <w:rPr>
          <w:rFonts w:hint="eastAsia"/>
        </w:rPr>
        <w:t>来源：GB/T 2</w:t>
      </w:r>
      <w:r>
        <w:t>4067</w:t>
      </w:r>
      <w:r>
        <w:rPr>
          <w:rFonts w:hint="eastAsia"/>
        </w:rPr>
        <w:t>-20</w:t>
      </w:r>
      <w:r>
        <w:t>24</w:t>
      </w:r>
      <w:r>
        <w:rPr>
          <w:rFonts w:hint="eastAsia"/>
        </w:rPr>
        <w:t>，3.1.8</w:t>
      </w:r>
      <w:r>
        <w:t>]</w:t>
      </w:r>
    </w:p>
    <w:p w14:paraId="1F08F4AE">
      <w:pPr>
        <w:pStyle w:val="227"/>
        <w:ind w:left="420" w:hanging="420" w:hangingChars="200"/>
        <w:rPr>
          <w:rFonts w:hint="eastAsia" w:ascii="黑体" w:hAnsi="黑体" w:eastAsia="黑体"/>
        </w:rPr>
      </w:pPr>
      <w:r>
        <w:rPr>
          <w:rFonts w:hint="eastAsia" w:ascii="黑体" w:hAnsi="黑体" w:eastAsia="黑体"/>
        </w:rPr>
        <w:t>产品</w:t>
      </w:r>
      <w:r>
        <w:rPr>
          <w:rFonts w:ascii="黑体" w:hAnsi="黑体" w:eastAsia="黑体"/>
        </w:rPr>
        <w:t>碳足迹</w:t>
      </w:r>
      <w:r>
        <w:rPr>
          <w:rFonts w:hint="eastAsia" w:ascii="黑体" w:hAnsi="黑体" w:eastAsia="黑体"/>
        </w:rPr>
        <w:t>-产品</w:t>
      </w:r>
      <w:r>
        <w:rPr>
          <w:rFonts w:ascii="黑体" w:hAnsi="黑体" w:eastAsia="黑体"/>
        </w:rPr>
        <w:t>种类规则</w:t>
      </w:r>
      <w:r>
        <w:rPr>
          <w:rFonts w:hint="eastAsia" w:ascii="黑体" w:hAnsi="黑体" w:eastAsia="黑体"/>
        </w:rPr>
        <w:t xml:space="preserve"> </w:t>
      </w:r>
      <w:r>
        <w:rPr>
          <w:rFonts w:ascii="黑体" w:hAnsi="黑体" w:eastAsia="黑体"/>
        </w:rPr>
        <w:t xml:space="preserve"> carbon footprint of a product- product category rules</w:t>
      </w:r>
      <w:r>
        <w:rPr>
          <w:rFonts w:hint="eastAsia" w:ascii="黑体" w:hAnsi="黑体" w:eastAsia="黑体"/>
        </w:rPr>
        <w:t>；CFP-</w:t>
      </w:r>
      <w:r>
        <w:rPr>
          <w:rFonts w:ascii="黑体" w:hAnsi="黑体" w:eastAsia="黑体"/>
        </w:rPr>
        <w:t>PCR</w:t>
      </w:r>
    </w:p>
    <w:p w14:paraId="359F6F2F">
      <w:pPr>
        <w:pStyle w:val="227"/>
        <w:numPr>
          <w:ilvl w:val="0"/>
          <w:numId w:val="0"/>
        </w:numPr>
        <w:ind w:firstLine="420" w:firstLineChars="200"/>
        <w:rPr>
          <w:rFonts w:hint="eastAsia" w:hAnsi="宋体"/>
        </w:rPr>
      </w:pPr>
      <w:r>
        <w:rPr>
          <w:rFonts w:hint="eastAsia" w:hAnsi="宋体"/>
        </w:rPr>
        <w:t>为</w:t>
      </w:r>
      <w:r>
        <w:rPr>
          <w:rFonts w:hAnsi="宋体"/>
        </w:rPr>
        <w:t>一个或多个</w:t>
      </w:r>
      <w:r>
        <w:rPr>
          <w:rFonts w:hint="eastAsia" w:hAnsi="宋体"/>
        </w:rPr>
        <w:t>产品</w:t>
      </w:r>
      <w:r>
        <w:rPr>
          <w:rFonts w:hAnsi="宋体"/>
        </w:rPr>
        <w:t>种类</w:t>
      </w:r>
      <w:r>
        <w:rPr>
          <w:rFonts w:hint="eastAsia" w:hAnsi="宋体"/>
        </w:rPr>
        <w:t>的</w:t>
      </w:r>
      <w:r>
        <w:rPr>
          <w:rFonts w:hAnsi="宋体"/>
        </w:rPr>
        <w:t>产品碳足迹</w:t>
      </w:r>
      <w:r>
        <w:rPr>
          <w:rFonts w:hint="eastAsia" w:hAnsi="宋体"/>
        </w:rPr>
        <w:t>或</w:t>
      </w:r>
      <w:r>
        <w:rPr>
          <w:rFonts w:hAnsi="宋体"/>
        </w:rPr>
        <w:t>产品部分碳足迹</w:t>
      </w:r>
      <w:r>
        <w:rPr>
          <w:rFonts w:hint="eastAsia" w:hAnsi="宋体"/>
        </w:rPr>
        <w:t>的</w:t>
      </w:r>
      <w:r>
        <w:rPr>
          <w:rFonts w:hAnsi="宋体"/>
        </w:rPr>
        <w:t>量化</w:t>
      </w:r>
      <w:r>
        <w:rPr>
          <w:rFonts w:hint="eastAsia" w:hAnsi="宋体"/>
        </w:rPr>
        <w:t>和</w:t>
      </w:r>
      <w:r>
        <w:rPr>
          <w:rFonts w:hAnsi="宋体"/>
        </w:rPr>
        <w:t>信息交流</w:t>
      </w:r>
      <w:r>
        <w:rPr>
          <w:rFonts w:hint="eastAsia" w:hAnsi="宋体"/>
        </w:rPr>
        <w:t>制定</w:t>
      </w:r>
      <w:r>
        <w:rPr>
          <w:rFonts w:hAnsi="宋体"/>
        </w:rPr>
        <w:t>的一套具体</w:t>
      </w:r>
      <w:r>
        <w:rPr>
          <w:rFonts w:hint="eastAsia" w:hAnsi="宋体"/>
        </w:rPr>
        <w:t>规则</w:t>
      </w:r>
      <w:r>
        <w:rPr>
          <w:rFonts w:hAnsi="宋体"/>
        </w:rPr>
        <w:t>、</w:t>
      </w:r>
      <w:r>
        <w:rPr>
          <w:rFonts w:hint="eastAsia" w:hAnsi="宋体"/>
        </w:rPr>
        <w:t>要求</w:t>
      </w:r>
      <w:r>
        <w:rPr>
          <w:rFonts w:hAnsi="宋体"/>
        </w:rPr>
        <w:t>和指南。</w:t>
      </w:r>
    </w:p>
    <w:p w14:paraId="40792BDA">
      <w:pPr>
        <w:pStyle w:val="184"/>
        <w:numPr>
          <w:ilvl w:val="0"/>
          <w:numId w:val="33"/>
        </w:numPr>
      </w:pPr>
      <w:r>
        <w:rPr>
          <w:rFonts w:hint="eastAsia"/>
        </w:rPr>
        <w:t>产品</w:t>
      </w:r>
      <w:r>
        <w:t>碳足迹</w:t>
      </w:r>
      <w:r>
        <w:rPr>
          <w:rFonts w:hint="eastAsia"/>
        </w:rPr>
        <w:t>-产品种类规则包含</w:t>
      </w:r>
      <w:r>
        <w:t>的</w:t>
      </w:r>
      <w:r>
        <w:rPr>
          <w:rFonts w:hint="eastAsia"/>
        </w:rPr>
        <w:t xml:space="preserve">量化规则与GB/T </w:t>
      </w:r>
      <w:r>
        <w:t>24044</w:t>
      </w:r>
      <w:r>
        <w:rPr>
          <w:rFonts w:hint="eastAsia"/>
        </w:rPr>
        <w:t>一致。</w:t>
      </w:r>
    </w:p>
    <w:p w14:paraId="03941281">
      <w:pPr>
        <w:pStyle w:val="184"/>
        <w:numPr>
          <w:ilvl w:val="0"/>
          <w:numId w:val="33"/>
        </w:numPr>
      </w:pPr>
      <w:r>
        <w:t>ISO/TS 14027:2017</w:t>
      </w:r>
      <w:r>
        <w:rPr>
          <w:rFonts w:hint="eastAsia"/>
        </w:rPr>
        <w:t>介绍了</w:t>
      </w:r>
      <w:r>
        <w:t>适用</w:t>
      </w:r>
      <w:r>
        <w:rPr>
          <w:rFonts w:hint="eastAsia"/>
        </w:rPr>
        <w:t>于本文</w:t>
      </w:r>
      <w:r>
        <w:t>件</w:t>
      </w:r>
      <w:r>
        <w:rPr>
          <w:rFonts w:hint="eastAsia"/>
        </w:rPr>
        <w:t>产品种类</w:t>
      </w:r>
      <w:r>
        <w:t>规则</w:t>
      </w:r>
      <w:r>
        <w:rPr>
          <w:rFonts w:hint="eastAsia"/>
        </w:rPr>
        <w:t>的</w:t>
      </w:r>
      <w:r>
        <w:t>制定</w:t>
      </w:r>
      <w:r>
        <w:rPr>
          <w:rFonts w:hint="eastAsia"/>
        </w:rPr>
        <w:t>。</w:t>
      </w:r>
    </w:p>
    <w:p w14:paraId="62969D34">
      <w:pPr>
        <w:pStyle w:val="184"/>
        <w:numPr>
          <w:ilvl w:val="0"/>
          <w:numId w:val="0"/>
        </w:numPr>
        <w:ind w:left="363"/>
      </w:pPr>
      <w:r>
        <w:rPr>
          <w:sz w:val="21"/>
          <w:szCs w:val="21"/>
        </w:rPr>
        <w:t>[</w:t>
      </w:r>
      <w:r>
        <w:rPr>
          <w:rFonts w:hint="eastAsia"/>
          <w:sz w:val="21"/>
          <w:szCs w:val="21"/>
        </w:rPr>
        <w:t>来源：</w:t>
      </w:r>
      <w:r>
        <w:rPr>
          <w:sz w:val="21"/>
          <w:szCs w:val="21"/>
        </w:rPr>
        <w:t>GB/T</w:t>
      </w:r>
      <w:r>
        <w:rPr>
          <w:rFonts w:hint="eastAsia"/>
          <w:sz w:val="21"/>
          <w:szCs w:val="21"/>
        </w:rPr>
        <w:t xml:space="preserve"> </w:t>
      </w:r>
      <w:r>
        <w:rPr>
          <w:sz w:val="21"/>
          <w:szCs w:val="21"/>
        </w:rPr>
        <w:t>2</w:t>
      </w:r>
      <w:r>
        <w:rPr>
          <w:rFonts w:hint="eastAsia"/>
          <w:sz w:val="21"/>
          <w:szCs w:val="21"/>
        </w:rPr>
        <w:t>4067-20</w:t>
      </w:r>
      <w:r>
        <w:rPr>
          <w:sz w:val="21"/>
          <w:szCs w:val="21"/>
        </w:rPr>
        <w:t>24</w:t>
      </w:r>
      <w:r>
        <w:rPr>
          <w:rFonts w:hint="eastAsia"/>
          <w:sz w:val="21"/>
          <w:szCs w:val="21"/>
        </w:rPr>
        <w:t>，3</w:t>
      </w:r>
      <w:r>
        <w:rPr>
          <w:sz w:val="21"/>
          <w:szCs w:val="21"/>
        </w:rPr>
        <w:t>.1.10]</w:t>
      </w:r>
    </w:p>
    <w:p w14:paraId="4719B286">
      <w:pPr>
        <w:pStyle w:val="227"/>
        <w:ind w:left="420" w:hanging="420" w:hangingChars="200"/>
        <w:rPr>
          <w:rFonts w:hint="eastAsia" w:ascii="黑体" w:hAnsi="黑体" w:eastAsia="黑体"/>
        </w:rPr>
      </w:pPr>
      <w:r>
        <w:rPr>
          <w:rFonts w:hint="eastAsia" w:ascii="黑体" w:hAnsi="黑体" w:eastAsia="黑体"/>
        </w:rPr>
        <w:t>二氧化碳</w:t>
      </w:r>
      <w:r>
        <w:rPr>
          <w:rFonts w:ascii="黑体" w:hAnsi="黑体" w:eastAsia="黑体"/>
        </w:rPr>
        <w:t>当量</w:t>
      </w:r>
      <w:r>
        <w:rPr>
          <w:rFonts w:hint="eastAsia" w:ascii="黑体" w:hAnsi="黑体" w:eastAsia="黑体"/>
        </w:rPr>
        <w:t xml:space="preserve"> </w:t>
      </w:r>
      <w:r>
        <w:rPr>
          <w:rFonts w:ascii="黑体" w:hAnsi="黑体" w:eastAsia="黑体"/>
        </w:rPr>
        <w:t xml:space="preserve"> carbon dioxide equivalent</w:t>
      </w:r>
      <w:r>
        <w:rPr>
          <w:rFonts w:hint="eastAsia" w:ascii="黑体" w:hAnsi="黑体" w:eastAsia="黑体"/>
        </w:rPr>
        <w:t>；</w:t>
      </w:r>
      <w:r>
        <w:rPr>
          <w:rFonts w:ascii="黑体" w:hAnsi="黑体" w:eastAsia="黑体"/>
        </w:rPr>
        <w:t>CO</w:t>
      </w:r>
      <w:r>
        <w:rPr>
          <w:rFonts w:ascii="黑体" w:hAnsi="黑体" w:eastAsia="黑体"/>
          <w:vertAlign w:val="subscript"/>
        </w:rPr>
        <w:t>2</w:t>
      </w:r>
      <w:r>
        <w:rPr>
          <w:rFonts w:ascii="黑体" w:hAnsi="黑体" w:eastAsia="黑体"/>
        </w:rPr>
        <w:t>e</w:t>
      </w:r>
    </w:p>
    <w:p w14:paraId="3FE2A854">
      <w:pPr>
        <w:pStyle w:val="60"/>
        <w:ind w:firstLine="420"/>
      </w:pPr>
      <w:r>
        <w:rPr>
          <w:rFonts w:hint="eastAsia"/>
        </w:rPr>
        <w:t>比较</w:t>
      </w:r>
      <w:r>
        <w:t>某种温室气体</w:t>
      </w:r>
      <w:r>
        <w:rPr>
          <w:rFonts w:hint="eastAsia"/>
        </w:rPr>
        <w:t>与</w:t>
      </w:r>
      <w:r>
        <w:t>二氧化碳</w:t>
      </w:r>
      <w:r>
        <w:rPr>
          <w:rFonts w:hint="eastAsia"/>
        </w:rPr>
        <w:t>的</w:t>
      </w:r>
      <w:r>
        <w:t>辐射</w:t>
      </w:r>
      <w:r>
        <w:rPr>
          <w:rFonts w:hint="eastAsia"/>
        </w:rPr>
        <w:t>强迫</w:t>
      </w:r>
      <w:r>
        <w:t>的单位</w:t>
      </w:r>
      <w:r>
        <w:rPr>
          <w:rFonts w:hint="eastAsia"/>
        </w:rPr>
        <w:t>。</w:t>
      </w:r>
    </w:p>
    <w:p w14:paraId="75607CB3">
      <w:pPr>
        <w:pStyle w:val="183"/>
      </w:pPr>
      <w:r>
        <w:rPr>
          <w:rFonts w:hint="eastAsia"/>
        </w:rPr>
        <w:t>给定</w:t>
      </w:r>
      <w:r>
        <w:t>温室气体的二氧化碳</w:t>
      </w:r>
      <w:r>
        <w:rPr>
          <w:rFonts w:hint="eastAsia"/>
        </w:rPr>
        <w:t>当量</w:t>
      </w:r>
      <w:r>
        <w:t>等于</w:t>
      </w:r>
      <w:r>
        <w:rPr>
          <w:rFonts w:hint="eastAsia"/>
        </w:rPr>
        <w:t>该</w:t>
      </w:r>
      <w:r>
        <w:t>温室气体</w:t>
      </w:r>
      <w:r>
        <w:rPr>
          <w:rFonts w:hint="eastAsia"/>
        </w:rPr>
        <w:t>质量</w:t>
      </w:r>
      <w:r>
        <w:t>乘以</w:t>
      </w:r>
      <w:r>
        <w:rPr>
          <w:rFonts w:hint="eastAsia"/>
        </w:rPr>
        <w:t>它的全球</w:t>
      </w:r>
      <w:r>
        <w:t>变暖</w:t>
      </w:r>
      <w:r>
        <w:rPr>
          <w:rFonts w:hint="eastAsia"/>
        </w:rPr>
        <w:t>潜势值。</w:t>
      </w:r>
    </w:p>
    <w:p w14:paraId="119CC53C">
      <w:pPr>
        <w:pStyle w:val="60"/>
        <w:ind w:firstLine="420"/>
      </w:pPr>
      <w:r>
        <w:t>[</w:t>
      </w:r>
      <w:r>
        <w:rPr>
          <w:rFonts w:hint="eastAsia"/>
        </w:rPr>
        <w:t>来源：GB/T 240</w:t>
      </w:r>
      <w:r>
        <w:t>67</w:t>
      </w:r>
      <w:r>
        <w:rPr>
          <w:rFonts w:hint="eastAsia"/>
        </w:rPr>
        <w:t>-20</w:t>
      </w:r>
      <w:r>
        <w:t>24</w:t>
      </w:r>
      <w:r>
        <w:rPr>
          <w:rFonts w:hint="eastAsia"/>
        </w:rPr>
        <w:t>，3.</w:t>
      </w:r>
      <w:r>
        <w:t>2.2]</w:t>
      </w:r>
    </w:p>
    <w:p w14:paraId="464738FB">
      <w:pPr>
        <w:pStyle w:val="227"/>
        <w:ind w:left="420" w:hanging="420" w:hangingChars="200"/>
        <w:rPr>
          <w:rFonts w:hint="eastAsia" w:ascii="黑体" w:hAnsi="黑体" w:eastAsia="黑体"/>
        </w:rPr>
      </w:pPr>
      <w:r>
        <w:rPr>
          <w:rFonts w:hint="eastAsia" w:ascii="黑体" w:hAnsi="黑体" w:eastAsia="黑体"/>
        </w:rPr>
        <w:t>温室</w:t>
      </w:r>
      <w:r>
        <w:rPr>
          <w:rFonts w:ascii="黑体" w:hAnsi="黑体" w:eastAsia="黑体"/>
        </w:rPr>
        <w:t>气体</w:t>
      </w:r>
      <w:r>
        <w:rPr>
          <w:rFonts w:hint="eastAsia" w:ascii="黑体" w:hAnsi="黑体" w:eastAsia="黑体"/>
        </w:rPr>
        <w:t xml:space="preserve">  </w:t>
      </w:r>
      <w:r>
        <w:rPr>
          <w:rFonts w:ascii="黑体" w:hAnsi="黑体" w:eastAsia="黑体"/>
        </w:rPr>
        <w:t xml:space="preserve">greenhouse gas </w:t>
      </w:r>
      <w:r>
        <w:rPr>
          <w:rFonts w:hint="eastAsia" w:ascii="黑体" w:hAnsi="黑体" w:eastAsia="黑体"/>
        </w:rPr>
        <w:t>；GHG</w:t>
      </w:r>
    </w:p>
    <w:p w14:paraId="3561D924">
      <w:pPr>
        <w:pStyle w:val="60"/>
        <w:ind w:firstLine="420"/>
      </w:pPr>
      <w:r>
        <w:rPr>
          <w:rFonts w:hint="eastAsia"/>
        </w:rPr>
        <w:t>大气层</w:t>
      </w:r>
      <w:r>
        <w:t>中</w:t>
      </w:r>
      <w:r>
        <w:rPr>
          <w:rFonts w:hint="eastAsia"/>
        </w:rPr>
        <w:t>自然</w:t>
      </w:r>
      <w:r>
        <w:t>存在</w:t>
      </w:r>
      <w:r>
        <w:rPr>
          <w:rFonts w:hint="eastAsia"/>
        </w:rPr>
        <w:t>的</w:t>
      </w:r>
      <w:r>
        <w:t>和由</w:t>
      </w:r>
      <w:r>
        <w:rPr>
          <w:rFonts w:hint="eastAsia"/>
        </w:rPr>
        <w:t>于</w:t>
      </w:r>
      <w:r>
        <w:t>人类</w:t>
      </w:r>
      <w:r>
        <w:rPr>
          <w:rFonts w:hint="eastAsia"/>
        </w:rPr>
        <w:t>活动产生</w:t>
      </w:r>
      <w:r>
        <w:t>的</w:t>
      </w:r>
      <w:r>
        <w:rPr>
          <w:rFonts w:hint="eastAsia"/>
        </w:rPr>
        <w:t>能够吸收和</w:t>
      </w:r>
      <w:r>
        <w:t>散发地球表面</w:t>
      </w:r>
      <w:r>
        <w:rPr>
          <w:rFonts w:hint="eastAsia"/>
        </w:rPr>
        <w:t>、</w:t>
      </w:r>
      <w:r>
        <w:t>大气层</w:t>
      </w:r>
      <w:r>
        <w:rPr>
          <w:rFonts w:hint="eastAsia"/>
        </w:rPr>
        <w:t>和</w:t>
      </w:r>
      <w:r>
        <w:t>云层</w:t>
      </w:r>
      <w:r>
        <w:rPr>
          <w:rFonts w:hint="eastAsia"/>
        </w:rPr>
        <w:t>所</w:t>
      </w:r>
      <w:r>
        <w:t>产生</w:t>
      </w:r>
      <w:r>
        <w:rPr>
          <w:rFonts w:hint="eastAsia"/>
        </w:rPr>
        <w:t>的</w:t>
      </w:r>
      <w:r>
        <w:t>、</w:t>
      </w:r>
      <w:r>
        <w:rPr>
          <w:rFonts w:hint="eastAsia"/>
        </w:rPr>
        <w:t>波长</w:t>
      </w:r>
      <w:r>
        <w:t>在</w:t>
      </w:r>
      <w:r>
        <w:rPr>
          <w:rFonts w:hint="eastAsia"/>
        </w:rPr>
        <w:t>红外光谱</w:t>
      </w:r>
      <w:r>
        <w:t>内</w:t>
      </w:r>
      <w:r>
        <w:rPr>
          <w:rFonts w:hint="eastAsia"/>
        </w:rPr>
        <w:t>的</w:t>
      </w:r>
      <w:r>
        <w:t>辐射</w:t>
      </w:r>
      <w:r>
        <w:rPr>
          <w:rFonts w:hint="eastAsia"/>
        </w:rPr>
        <w:t>的</w:t>
      </w:r>
      <w:r>
        <w:t>气态</w:t>
      </w:r>
      <w:r>
        <w:rPr>
          <w:rFonts w:hint="eastAsia"/>
        </w:rPr>
        <w:t>成分</w:t>
      </w:r>
      <w:r>
        <w:t>。</w:t>
      </w:r>
    </w:p>
    <w:p w14:paraId="05D3F965">
      <w:pPr>
        <w:pStyle w:val="183"/>
      </w:pPr>
      <w:r>
        <w:rPr>
          <w:rFonts w:hint="eastAsia"/>
        </w:rPr>
        <w:t>本文件</w:t>
      </w:r>
      <w:r>
        <w:t>涉及</w:t>
      </w:r>
      <w:r>
        <w:rPr>
          <w:rFonts w:hint="eastAsia"/>
        </w:rPr>
        <w:t>的</w:t>
      </w:r>
      <w:r>
        <w:t>温室气体包括二氧化碳（</w:t>
      </w:r>
      <w:r>
        <w:rPr>
          <w:rFonts w:hint="eastAsia"/>
        </w:rPr>
        <w:t>CO</w:t>
      </w:r>
      <w:r>
        <w:rPr>
          <w:vertAlign w:val="subscript"/>
        </w:rPr>
        <w:t>2</w:t>
      </w:r>
      <w:r>
        <w:t>）</w:t>
      </w:r>
      <w:r>
        <w:rPr>
          <w:rFonts w:hint="eastAsia"/>
        </w:rPr>
        <w:t>、甲烷（CH</w:t>
      </w:r>
      <w:r>
        <w:rPr>
          <w:rFonts w:hint="eastAsia"/>
          <w:vertAlign w:val="subscript"/>
        </w:rPr>
        <w:t>4</w:t>
      </w:r>
      <w:r>
        <w:rPr>
          <w:rFonts w:hint="eastAsia"/>
        </w:rPr>
        <w:t>）、</w:t>
      </w:r>
      <w:r>
        <w:t>氧化亚氮（</w:t>
      </w:r>
      <w:r>
        <w:rPr>
          <w:rFonts w:hint="eastAsia"/>
        </w:rPr>
        <w:t>N</w:t>
      </w:r>
      <w:r>
        <w:rPr>
          <w:rFonts w:hint="eastAsia"/>
          <w:vertAlign w:val="subscript"/>
        </w:rPr>
        <w:t>2</w:t>
      </w:r>
      <w:r>
        <w:rPr>
          <w:rFonts w:hint="eastAsia"/>
        </w:rPr>
        <w:t>O</w:t>
      </w:r>
      <w:r>
        <w:t>）</w:t>
      </w:r>
      <w:r>
        <w:rPr>
          <w:rFonts w:hint="eastAsia"/>
        </w:rPr>
        <w:t>、</w:t>
      </w:r>
      <w:r>
        <w:t>氢氟</w:t>
      </w:r>
      <w:r>
        <w:rPr>
          <w:rFonts w:hint="eastAsia"/>
        </w:rPr>
        <w:t>碳化物</w:t>
      </w:r>
      <w:r>
        <w:t>（</w:t>
      </w:r>
      <w:r>
        <w:rPr>
          <w:rFonts w:hint="eastAsia"/>
        </w:rPr>
        <w:t>HFC</w:t>
      </w:r>
      <w:r>
        <w:rPr>
          <w:rFonts w:hint="eastAsia"/>
          <w:vertAlign w:val="subscript"/>
        </w:rPr>
        <w:t>S</w:t>
      </w:r>
      <w:r>
        <w:t>）</w:t>
      </w:r>
      <w:r>
        <w:rPr>
          <w:rFonts w:hint="eastAsia"/>
        </w:rPr>
        <w:t>、</w:t>
      </w:r>
      <w:r>
        <w:t>全氟碳化物（</w:t>
      </w:r>
      <w:r>
        <w:rPr>
          <w:rFonts w:hint="eastAsia"/>
        </w:rPr>
        <w:t>PFC</w:t>
      </w:r>
      <w:r>
        <w:rPr>
          <w:rFonts w:hint="eastAsia"/>
          <w:vertAlign w:val="subscript"/>
        </w:rPr>
        <w:t>S</w:t>
      </w:r>
      <w:r>
        <w:t>）</w:t>
      </w:r>
      <w:r>
        <w:rPr>
          <w:rFonts w:hint="eastAsia"/>
        </w:rPr>
        <w:t>、</w:t>
      </w:r>
      <w:r>
        <w:t>六氟化硫（</w:t>
      </w:r>
      <w:r>
        <w:rPr>
          <w:rFonts w:hint="eastAsia"/>
        </w:rPr>
        <w:t>SF</w:t>
      </w:r>
      <w:r>
        <w:rPr>
          <w:rFonts w:hint="eastAsia"/>
          <w:vertAlign w:val="subscript"/>
        </w:rPr>
        <w:t>6</w:t>
      </w:r>
      <w:r>
        <w:t>）</w:t>
      </w:r>
      <w:r>
        <w:rPr>
          <w:rFonts w:hint="eastAsia"/>
        </w:rPr>
        <w:t>和</w:t>
      </w:r>
      <w:r>
        <w:t>三氟化氮</w:t>
      </w:r>
      <w:r>
        <w:rPr>
          <w:rFonts w:hint="eastAsia"/>
        </w:rPr>
        <w:t>（NF</w:t>
      </w:r>
      <w:r>
        <w:rPr>
          <w:rFonts w:hint="eastAsia"/>
          <w:vertAlign w:val="subscript"/>
        </w:rPr>
        <w:t>3</w:t>
      </w:r>
      <w:r>
        <w:rPr>
          <w:rFonts w:hint="eastAsia"/>
        </w:rPr>
        <w:t>）。</w:t>
      </w:r>
    </w:p>
    <w:p w14:paraId="30135DD3">
      <w:pPr>
        <w:pStyle w:val="60"/>
        <w:ind w:firstLine="199" w:firstLineChars="95"/>
      </w:pPr>
      <w:r>
        <w:rPr>
          <w:rFonts w:hint="eastAsia"/>
        </w:rPr>
        <w:t xml:space="preserve"> [来源：GB/T 24067-2024，3.</w:t>
      </w:r>
      <w:r>
        <w:t>2.1</w:t>
      </w:r>
      <w:r>
        <w:rPr>
          <w:rFonts w:hint="eastAsia"/>
        </w:rPr>
        <w:t>]</w:t>
      </w:r>
    </w:p>
    <w:p w14:paraId="72034217">
      <w:pPr>
        <w:pStyle w:val="227"/>
        <w:ind w:left="420" w:hanging="420" w:hangingChars="200"/>
        <w:rPr>
          <w:rFonts w:hint="eastAsia" w:ascii="黑体" w:hAnsi="黑体" w:eastAsia="黑体"/>
        </w:rPr>
      </w:pPr>
      <w:r>
        <w:rPr>
          <w:rFonts w:hint="eastAsia" w:ascii="黑体" w:hAnsi="黑体" w:eastAsia="黑体"/>
        </w:rPr>
        <w:t>温室</w:t>
      </w:r>
      <w:r>
        <w:rPr>
          <w:rFonts w:ascii="黑体" w:hAnsi="黑体" w:eastAsia="黑体"/>
        </w:rPr>
        <w:t>气体</w:t>
      </w:r>
      <w:r>
        <w:rPr>
          <w:rFonts w:hint="eastAsia" w:ascii="黑体" w:hAnsi="黑体" w:eastAsia="黑体"/>
        </w:rPr>
        <w:t xml:space="preserve">排放因子 </w:t>
      </w:r>
      <w:r>
        <w:rPr>
          <w:rFonts w:ascii="黑体" w:hAnsi="黑体" w:eastAsia="黑体"/>
        </w:rPr>
        <w:t xml:space="preserve"> greenhouse gas emission factor</w:t>
      </w:r>
      <w:r>
        <w:rPr>
          <w:rFonts w:hint="eastAsia" w:ascii="黑体" w:hAnsi="黑体" w:eastAsia="黑体"/>
        </w:rPr>
        <w:t>；GHG</w:t>
      </w:r>
      <w:r>
        <w:rPr>
          <w:rFonts w:ascii="黑体" w:hAnsi="黑体" w:eastAsia="黑体"/>
        </w:rPr>
        <w:t xml:space="preserve"> emission factor</w:t>
      </w:r>
    </w:p>
    <w:p w14:paraId="020B4F6A">
      <w:pPr>
        <w:pStyle w:val="60"/>
        <w:ind w:firstLine="420"/>
      </w:pPr>
      <w:r>
        <w:rPr>
          <w:rFonts w:hint="eastAsia"/>
        </w:rPr>
        <w:t>活动数据</w:t>
      </w:r>
      <w:r>
        <w:t>与温室气体排放</w:t>
      </w:r>
      <w:r>
        <w:rPr>
          <w:rFonts w:hint="eastAsia"/>
        </w:rPr>
        <w:t>相关</w:t>
      </w:r>
      <w:r>
        <w:t>的系数</w:t>
      </w:r>
      <w:r>
        <w:rPr>
          <w:rFonts w:hint="eastAsia"/>
        </w:rPr>
        <w:t>。</w:t>
      </w:r>
    </w:p>
    <w:p w14:paraId="06F24E15">
      <w:pPr>
        <w:pStyle w:val="60"/>
        <w:ind w:firstLine="420"/>
      </w:pPr>
      <w:r>
        <w:t>[</w:t>
      </w:r>
      <w:r>
        <w:rPr>
          <w:rFonts w:hint="eastAsia"/>
        </w:rPr>
        <w:t>来源：</w:t>
      </w:r>
      <w:r>
        <w:t>GB/T</w:t>
      </w:r>
      <w:r>
        <w:rPr>
          <w:rFonts w:hint="eastAsia"/>
        </w:rPr>
        <w:t xml:space="preserve"> </w:t>
      </w:r>
      <w:r>
        <w:t>2</w:t>
      </w:r>
      <w:r>
        <w:rPr>
          <w:rFonts w:hint="eastAsia"/>
        </w:rPr>
        <w:t>4067-20</w:t>
      </w:r>
      <w:r>
        <w:t>24</w:t>
      </w:r>
      <w:r>
        <w:rPr>
          <w:rFonts w:hint="eastAsia"/>
        </w:rPr>
        <w:t>，3</w:t>
      </w:r>
      <w:r>
        <w:t>.2.7]</w:t>
      </w:r>
    </w:p>
    <w:p w14:paraId="18AA346E">
      <w:pPr>
        <w:pStyle w:val="227"/>
        <w:ind w:left="420" w:hanging="420" w:hangingChars="200"/>
        <w:rPr>
          <w:rFonts w:hint="eastAsia" w:ascii="黑体" w:hAnsi="黑体" w:eastAsia="黑体"/>
        </w:rPr>
      </w:pPr>
      <w:r>
        <w:rPr>
          <w:rFonts w:hint="eastAsia" w:ascii="黑体" w:hAnsi="黑体" w:eastAsia="黑体"/>
        </w:rPr>
        <w:t>全球</w:t>
      </w:r>
      <w:r>
        <w:rPr>
          <w:rFonts w:ascii="黑体" w:hAnsi="黑体" w:eastAsia="黑体"/>
        </w:rPr>
        <w:t>变暖潜势</w:t>
      </w:r>
      <w:r>
        <w:rPr>
          <w:rFonts w:hint="eastAsia" w:ascii="黑体" w:hAnsi="黑体" w:eastAsia="黑体"/>
        </w:rPr>
        <w:t xml:space="preserve"> </w:t>
      </w:r>
      <w:r>
        <w:rPr>
          <w:rFonts w:ascii="黑体" w:hAnsi="黑体" w:eastAsia="黑体"/>
        </w:rPr>
        <w:t xml:space="preserve"> global warming potential</w:t>
      </w:r>
      <w:r>
        <w:rPr>
          <w:rFonts w:hint="eastAsia" w:ascii="黑体" w:hAnsi="黑体" w:eastAsia="黑体"/>
        </w:rPr>
        <w:t>；GWP</w:t>
      </w:r>
    </w:p>
    <w:p w14:paraId="54AA1E4A">
      <w:pPr>
        <w:pStyle w:val="60"/>
        <w:ind w:firstLine="420"/>
      </w:pPr>
      <w:r>
        <w:rPr>
          <w:rFonts w:hint="eastAsia"/>
        </w:rPr>
        <w:t>用于</w:t>
      </w:r>
      <w:r>
        <w:t>衡量</w:t>
      </w:r>
      <w:r>
        <w:rPr>
          <w:rFonts w:hint="eastAsia"/>
        </w:rPr>
        <w:t>在</w:t>
      </w:r>
      <w:r>
        <w:t>选定</w:t>
      </w:r>
      <w:r>
        <w:rPr>
          <w:rFonts w:hint="eastAsia"/>
        </w:rPr>
        <w:t>时间</w:t>
      </w:r>
      <w:r>
        <w:t>点</w:t>
      </w:r>
      <w:r>
        <w:rPr>
          <w:rFonts w:hint="eastAsia"/>
        </w:rPr>
        <w:t>，</w:t>
      </w:r>
      <w:r>
        <w:t>全球</w:t>
      </w:r>
      <w:r>
        <w:rPr>
          <w:rFonts w:hint="eastAsia"/>
        </w:rPr>
        <w:t>平均地表</w:t>
      </w:r>
      <w:r>
        <w:t>温度</w:t>
      </w:r>
      <w:r>
        <w:rPr>
          <w:rFonts w:hint="eastAsia"/>
        </w:rPr>
        <w:t>在</w:t>
      </w:r>
      <w:r>
        <w:t>某温室气体</w:t>
      </w:r>
      <w:r>
        <w:rPr>
          <w:rFonts w:hint="eastAsia"/>
        </w:rPr>
        <w:t>脉冲排放</w:t>
      </w:r>
      <w:r>
        <w:t>下</w:t>
      </w:r>
      <w:r>
        <w:rPr>
          <w:rFonts w:hint="eastAsia"/>
        </w:rPr>
        <w:t>的</w:t>
      </w:r>
      <w:r>
        <w:t>变化</w:t>
      </w:r>
      <w:r>
        <w:rPr>
          <w:rFonts w:hint="eastAsia"/>
        </w:rPr>
        <w:t>，</w:t>
      </w:r>
      <w:r>
        <w:t>是</w:t>
      </w:r>
      <w:r>
        <w:rPr>
          <w:rFonts w:hint="eastAsia"/>
        </w:rPr>
        <w:t>相对于二氧化碳引起温度变化</w:t>
      </w:r>
      <w:r>
        <w:t>的</w:t>
      </w:r>
      <w:r>
        <w:rPr>
          <w:rFonts w:hint="eastAsia"/>
        </w:rPr>
        <w:t>系数</w:t>
      </w:r>
      <w:r>
        <w:t>。</w:t>
      </w:r>
    </w:p>
    <w:p w14:paraId="1D58F2A3">
      <w:pPr>
        <w:pStyle w:val="184"/>
        <w:numPr>
          <w:ilvl w:val="0"/>
          <w:numId w:val="34"/>
        </w:numPr>
      </w:pPr>
      <w:r>
        <w:rPr>
          <w:rFonts w:hint="eastAsia"/>
        </w:rPr>
        <w:t>本文件</w:t>
      </w:r>
      <w:r>
        <w:t>使用</w:t>
      </w:r>
      <w:r>
        <w:rPr>
          <w:rFonts w:hint="eastAsia"/>
        </w:rPr>
        <w:t xml:space="preserve">的“系数”即GB/T </w:t>
      </w:r>
      <w:r>
        <w:t>24040-2008</w:t>
      </w:r>
      <w:r>
        <w:rPr>
          <w:rFonts w:hint="eastAsia"/>
        </w:rPr>
        <w:t>的</w:t>
      </w:r>
      <w:r>
        <w:t>，</w:t>
      </w:r>
      <w:r>
        <w:rPr>
          <w:rFonts w:hint="eastAsia"/>
        </w:rPr>
        <w:t>3.37中</w:t>
      </w:r>
      <w:r>
        <w:t>定义</w:t>
      </w:r>
      <w:r>
        <w:rPr>
          <w:rFonts w:hint="eastAsia"/>
        </w:rPr>
        <w:t>的“特征化</w:t>
      </w:r>
      <w:r>
        <w:t>因子</w:t>
      </w:r>
      <w:r>
        <w:rPr>
          <w:rFonts w:hint="eastAsia"/>
        </w:rPr>
        <w:t>”。</w:t>
      </w:r>
    </w:p>
    <w:p w14:paraId="786108AA">
      <w:pPr>
        <w:pStyle w:val="184"/>
        <w:numPr>
          <w:ilvl w:val="0"/>
          <w:numId w:val="34"/>
        </w:numPr>
      </w:pPr>
      <w:r>
        <w:rPr>
          <w:rFonts w:hint="eastAsia"/>
        </w:rPr>
        <w:t>全球</w:t>
      </w:r>
      <w:r>
        <w:t>温度</w:t>
      </w:r>
      <w:r>
        <w:rPr>
          <w:rFonts w:hint="eastAsia"/>
        </w:rPr>
        <w:t>变化潜势是</w:t>
      </w:r>
      <w:r>
        <w:t>基于</w:t>
      </w:r>
      <w:r>
        <w:rPr>
          <w:rFonts w:hint="eastAsia"/>
        </w:rPr>
        <w:t>选定年份内</w:t>
      </w:r>
      <w:r>
        <w:t>温度</w:t>
      </w:r>
      <w:r>
        <w:rPr>
          <w:rFonts w:hint="eastAsia"/>
        </w:rPr>
        <w:t>变化得</w:t>
      </w:r>
      <w:r>
        <w:t>出的。</w:t>
      </w:r>
    </w:p>
    <w:p w14:paraId="3D965D77">
      <w:pPr>
        <w:pStyle w:val="184"/>
        <w:numPr>
          <w:ilvl w:val="0"/>
          <w:numId w:val="34"/>
        </w:numPr>
      </w:pPr>
      <w:r>
        <w:rPr>
          <w:rFonts w:hint="eastAsia"/>
        </w:rPr>
        <w:t>源自第</w:t>
      </w:r>
      <w:r>
        <w:t>1</w:t>
      </w:r>
      <w:r>
        <w:rPr>
          <w:rFonts w:hint="eastAsia"/>
        </w:rPr>
        <w:t>工作</w:t>
      </w:r>
      <w:r>
        <w:t>组</w:t>
      </w:r>
      <w:r>
        <w:rPr>
          <w:rFonts w:hint="eastAsia"/>
        </w:rPr>
        <w:t>政府</w:t>
      </w:r>
      <w:r>
        <w:t>间</w:t>
      </w:r>
      <w:r>
        <w:rPr>
          <w:rFonts w:hint="eastAsia"/>
        </w:rPr>
        <w:t>气候</w:t>
      </w:r>
      <w:r>
        <w:t>变化</w:t>
      </w:r>
      <w:r>
        <w:rPr>
          <w:rFonts w:hint="eastAsia"/>
        </w:rPr>
        <w:t>专门委员会（IPCC）第五次评价</w:t>
      </w:r>
      <w:r>
        <w:t>报告</w:t>
      </w:r>
      <w:r>
        <w:rPr>
          <w:rFonts w:hint="eastAsia"/>
        </w:rPr>
        <w:t>（AR5），2013年</w:t>
      </w:r>
      <w:r>
        <w:t>气候</w:t>
      </w:r>
      <w:r>
        <w:rPr>
          <w:rFonts w:hint="eastAsia"/>
        </w:rPr>
        <w:t>变化：物理</w:t>
      </w:r>
      <w:r>
        <w:t>科学基础</w:t>
      </w:r>
      <w:r>
        <w:rPr>
          <w:rFonts w:hint="eastAsia"/>
        </w:rPr>
        <w:t>。</w:t>
      </w:r>
    </w:p>
    <w:p w14:paraId="4C8C73E0">
      <w:pPr>
        <w:pStyle w:val="184"/>
        <w:numPr>
          <w:ilvl w:val="0"/>
          <w:numId w:val="0"/>
        </w:numPr>
        <w:ind w:left="363"/>
        <w:rPr>
          <w:sz w:val="21"/>
          <w:szCs w:val="21"/>
        </w:rPr>
      </w:pPr>
      <w:r>
        <w:rPr>
          <w:rFonts w:hint="eastAsia"/>
          <w:sz w:val="21"/>
          <w:szCs w:val="21"/>
        </w:rPr>
        <w:t>[来源：GB/T 24067-2024，3.2.4]</w:t>
      </w:r>
    </w:p>
    <w:p w14:paraId="28DE1899">
      <w:pPr>
        <w:pStyle w:val="227"/>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水足迹 water footprint</w:t>
      </w:r>
    </w:p>
    <w:p w14:paraId="6B6276BA">
      <w:pPr>
        <w:pStyle w:val="60"/>
        <w:ind w:firstLine="420"/>
      </w:pPr>
      <w:r>
        <w:rPr>
          <w:rFonts w:hint="eastAsia"/>
        </w:rPr>
        <w:t>基于全生命周期评估（LCA）方法，单位功能单位液态乳制品在整个生命周期内消耗的淡水资源总量，按来源分为蓝水、绿水和灰水，以立方米（m³）表示。</w:t>
      </w:r>
    </w:p>
    <w:p w14:paraId="3B71B2E9">
      <w:pPr>
        <w:pStyle w:val="60"/>
        <w:ind w:firstLine="420"/>
      </w:pPr>
      <w:r>
        <w:rPr>
          <w:rFonts w:hint="eastAsia"/>
        </w:rPr>
        <w:t>[引用：GB/T 33262-2016 3.1，增加LCA限定]</w:t>
      </w:r>
    </w:p>
    <w:p w14:paraId="13E95982">
      <w:pPr>
        <w:pStyle w:val="227"/>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蓝水足迹 blue water footprint</w:t>
      </w:r>
    </w:p>
    <w:p w14:paraId="7A1B80ED">
      <w:pPr>
        <w:pStyle w:val="60"/>
        <w:ind w:firstLine="420"/>
      </w:pPr>
      <w:r>
        <w:rPr>
          <w:rFonts w:hint="eastAsia"/>
        </w:rPr>
        <w:t>产品全生命周期中消耗的地表水与地下水资源量。</w:t>
      </w:r>
    </w:p>
    <w:p w14:paraId="0C2E06DA">
      <w:pPr>
        <w:pStyle w:val="60"/>
        <w:ind w:firstLine="420"/>
      </w:pPr>
      <w:r>
        <w:rPr>
          <w:rFonts w:hint="eastAsia"/>
        </w:rPr>
        <w:t>[引用：GB/T 33262-2016 3.3]</w:t>
      </w:r>
    </w:p>
    <w:p w14:paraId="5CC98B52">
      <w:pPr>
        <w:pStyle w:val="227"/>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灰水足迹 grey water footprint</w:t>
      </w:r>
    </w:p>
    <w:p w14:paraId="3AF2B67C">
      <w:pPr>
        <w:pStyle w:val="60"/>
        <w:ind w:firstLine="420"/>
      </w:pPr>
      <w:r>
        <w:rPr>
          <w:rFonts w:hint="eastAsia"/>
        </w:rPr>
        <w:t>产品全生命周期中用于稀释污染物至环境安全标准所需淡水总量。</w:t>
      </w:r>
    </w:p>
    <w:p w14:paraId="0C4F89E4">
      <w:pPr>
        <w:pStyle w:val="60"/>
        <w:ind w:firstLine="420"/>
      </w:pPr>
      <w:r>
        <w:rPr>
          <w:rFonts w:hint="eastAsia"/>
        </w:rPr>
        <w:t>[</w:t>
      </w:r>
      <w:r>
        <w:rPr>
          <w:rFonts w:hint="eastAsia"/>
          <w:highlight w:val="none"/>
        </w:rPr>
        <w:t>来源</w:t>
      </w:r>
      <w:r>
        <w:rPr>
          <w:rFonts w:hint="eastAsia"/>
        </w:rPr>
        <w:t>：GB/T 33262-2016 3.4，关联NY/T 1206废水处理标准]</w:t>
      </w:r>
    </w:p>
    <w:p w14:paraId="6269B74F">
      <w:pPr>
        <w:pStyle w:val="227"/>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水耗强度 water consumption intensity</w:t>
      </w:r>
    </w:p>
    <w:p w14:paraId="084BE55D">
      <w:pPr>
        <w:pStyle w:val="60"/>
        <w:ind w:firstLine="420"/>
      </w:pPr>
      <w:r>
        <w:rPr>
          <w:rFonts w:hint="eastAsia"/>
        </w:rPr>
        <w:t>单位功能单位制品在特定环节的淡水消耗量（如养殖环节：m³/吨原奶）。</w:t>
      </w:r>
    </w:p>
    <w:p w14:paraId="442B033E">
      <w:pPr>
        <w:pStyle w:val="227"/>
        <w:ind w:left="420" w:hanging="420" w:hangingChars="200"/>
        <w:rPr>
          <w:rFonts w:hint="eastAsia" w:ascii="黑体" w:hAnsi="黑体" w:eastAsia="黑体"/>
        </w:rPr>
      </w:pPr>
    </w:p>
    <w:p w14:paraId="62AAE2A5">
      <w:pPr>
        <w:pStyle w:val="227"/>
        <w:numPr>
          <w:ilvl w:val="0"/>
          <w:numId w:val="0"/>
        </w:numPr>
        <w:ind w:left="420"/>
        <w:rPr>
          <w:rFonts w:hint="eastAsia" w:ascii="黑体" w:hAnsi="黑体" w:eastAsia="黑体"/>
        </w:rPr>
      </w:pPr>
      <w:r>
        <w:rPr>
          <w:rFonts w:hint="eastAsia" w:ascii="黑体" w:hAnsi="黑体" w:eastAsia="黑体"/>
        </w:rPr>
        <w:t>生命</w:t>
      </w:r>
      <w:r>
        <w:rPr>
          <w:rFonts w:ascii="黑体" w:hAnsi="黑体" w:eastAsia="黑体"/>
        </w:rPr>
        <w:t>周期</w:t>
      </w:r>
      <w:r>
        <w:rPr>
          <w:rFonts w:hint="eastAsia" w:ascii="黑体" w:hAnsi="黑体" w:eastAsia="黑体"/>
        </w:rPr>
        <w:t xml:space="preserve"> </w:t>
      </w:r>
      <w:r>
        <w:rPr>
          <w:rFonts w:ascii="黑体" w:hAnsi="黑体" w:eastAsia="黑体"/>
        </w:rPr>
        <w:t xml:space="preserve"> life cycle</w:t>
      </w:r>
    </w:p>
    <w:p w14:paraId="50C5C72E">
      <w:pPr>
        <w:pStyle w:val="60"/>
        <w:ind w:firstLine="420"/>
      </w:pPr>
      <w:r>
        <w:rPr>
          <w:rFonts w:hint="eastAsia"/>
        </w:rPr>
        <w:t>产品相关的</w:t>
      </w:r>
      <w:r>
        <w:t>连续且相互</w:t>
      </w:r>
      <w:r>
        <w:rPr>
          <w:rFonts w:hint="eastAsia"/>
        </w:rPr>
        <w:t>连接</w:t>
      </w:r>
      <w:r>
        <w:t>的</w:t>
      </w:r>
      <w:r>
        <w:rPr>
          <w:rFonts w:hint="eastAsia"/>
        </w:rPr>
        <w:t>阶段，</w:t>
      </w:r>
      <w:r>
        <w:t>包括原材料获取</w:t>
      </w:r>
      <w:r>
        <w:rPr>
          <w:rFonts w:hint="eastAsia"/>
        </w:rPr>
        <w:t>或</w:t>
      </w:r>
      <w:r>
        <w:t>从自</w:t>
      </w:r>
      <w:r>
        <w:rPr>
          <w:rFonts w:hint="eastAsia"/>
        </w:rPr>
        <w:t>然</w:t>
      </w:r>
      <w:r>
        <w:t>资源中</w:t>
      </w:r>
      <w:r>
        <w:rPr>
          <w:rFonts w:hint="eastAsia"/>
        </w:rPr>
        <w:t>生成原材料至</w:t>
      </w:r>
      <w:r>
        <w:t>生命末期</w:t>
      </w:r>
      <w:r>
        <w:rPr>
          <w:rFonts w:hint="eastAsia"/>
        </w:rPr>
        <w:t>处理</w:t>
      </w:r>
      <w:r>
        <w:t>。</w:t>
      </w:r>
    </w:p>
    <w:p w14:paraId="4E77177C">
      <w:pPr>
        <w:pStyle w:val="184"/>
        <w:numPr>
          <w:ilvl w:val="0"/>
          <w:numId w:val="35"/>
        </w:numPr>
      </w:pPr>
      <w:r>
        <w:rPr>
          <w:rFonts w:hint="eastAsia"/>
        </w:rPr>
        <w:t>“原材料”的</w:t>
      </w:r>
      <w:r>
        <w:t>定义</w:t>
      </w:r>
      <w:r>
        <w:rPr>
          <w:rFonts w:hint="eastAsia"/>
        </w:rPr>
        <w:t xml:space="preserve">见GB/T </w:t>
      </w:r>
      <w:r>
        <w:t>24040-2008,3.15</w:t>
      </w:r>
      <w:r>
        <w:rPr>
          <w:rFonts w:hint="eastAsia"/>
        </w:rPr>
        <w:t>。</w:t>
      </w:r>
    </w:p>
    <w:p w14:paraId="49CCDFD7">
      <w:pPr>
        <w:pStyle w:val="184"/>
        <w:numPr>
          <w:ilvl w:val="0"/>
          <w:numId w:val="35"/>
        </w:numPr>
      </w:pPr>
      <w:r>
        <w:rPr>
          <w:rFonts w:hint="eastAsia"/>
        </w:rPr>
        <w:t>与</w:t>
      </w:r>
      <w:r>
        <w:t>产品相关的生命周期</w:t>
      </w:r>
      <w:r>
        <w:rPr>
          <w:rFonts w:hint="eastAsia"/>
        </w:rPr>
        <w:t>阶段</w:t>
      </w:r>
      <w:r>
        <w:t>包括</w:t>
      </w:r>
      <w:r>
        <w:rPr>
          <w:rFonts w:hint="eastAsia"/>
        </w:rPr>
        <w:t>原材料</w:t>
      </w:r>
      <w:r>
        <w:t>获取、</w:t>
      </w:r>
      <w:r>
        <w:rPr>
          <w:rFonts w:hint="eastAsia"/>
        </w:rPr>
        <w:t>生产</w:t>
      </w:r>
      <w:r>
        <w:t>、销售、</w:t>
      </w:r>
      <w:r>
        <w:rPr>
          <w:rFonts w:hint="eastAsia"/>
        </w:rPr>
        <w:t>使用</w:t>
      </w:r>
      <w:r>
        <w:t>和生命末期处理</w:t>
      </w:r>
      <w:r>
        <w:rPr>
          <w:rFonts w:hint="eastAsia"/>
        </w:rPr>
        <w:t>。</w:t>
      </w:r>
    </w:p>
    <w:p w14:paraId="53B4153E">
      <w:pPr>
        <w:pStyle w:val="60"/>
        <w:ind w:firstLine="420"/>
      </w:pPr>
      <w:r>
        <w:rPr>
          <w:rFonts w:hint="eastAsia"/>
        </w:rPr>
        <w:t>[来源：GB/T 24067-2024，3</w:t>
      </w:r>
      <w:r>
        <w:t>.4.2</w:t>
      </w:r>
      <w:r>
        <w:rPr>
          <w:rFonts w:hint="eastAsia"/>
        </w:rPr>
        <w:t>]</w:t>
      </w:r>
    </w:p>
    <w:p w14:paraId="0D3A78DC">
      <w:pPr>
        <w:pStyle w:val="227"/>
        <w:ind w:left="420" w:hanging="420" w:hangingChars="200"/>
        <w:rPr>
          <w:rFonts w:hint="eastAsia" w:ascii="黑体" w:hAnsi="黑体" w:eastAsia="黑体"/>
        </w:rPr>
      </w:pPr>
    </w:p>
    <w:p w14:paraId="3E9FD912">
      <w:pPr>
        <w:pStyle w:val="227"/>
        <w:numPr>
          <w:ilvl w:val="0"/>
          <w:numId w:val="0"/>
        </w:numPr>
        <w:ind w:left="420"/>
        <w:rPr>
          <w:rFonts w:hint="eastAsia" w:ascii="黑体" w:hAnsi="黑体" w:eastAsia="黑体"/>
        </w:rPr>
      </w:pPr>
      <w:r>
        <w:rPr>
          <w:rFonts w:hint="eastAsia" w:ascii="黑体" w:hAnsi="黑体" w:eastAsia="黑体"/>
        </w:rPr>
        <w:t>生命</w:t>
      </w:r>
      <w:r>
        <w:rPr>
          <w:rFonts w:ascii="黑体" w:hAnsi="黑体" w:eastAsia="黑体"/>
        </w:rPr>
        <w:t>周期评价</w:t>
      </w:r>
      <w:r>
        <w:rPr>
          <w:rFonts w:hint="eastAsia" w:ascii="黑体" w:hAnsi="黑体" w:eastAsia="黑体"/>
        </w:rPr>
        <w:t xml:space="preserve"> </w:t>
      </w:r>
      <w:r>
        <w:rPr>
          <w:rFonts w:ascii="黑体" w:hAnsi="黑体" w:eastAsia="黑体"/>
        </w:rPr>
        <w:t xml:space="preserve"> life cycle assessment</w:t>
      </w:r>
      <w:r>
        <w:rPr>
          <w:rFonts w:hint="eastAsia" w:ascii="黑体" w:hAnsi="黑体" w:eastAsia="黑体"/>
        </w:rPr>
        <w:t>；LCA</w:t>
      </w:r>
    </w:p>
    <w:p w14:paraId="15575072">
      <w:pPr>
        <w:pStyle w:val="60"/>
        <w:ind w:firstLine="420"/>
      </w:pPr>
      <w:r>
        <w:rPr>
          <w:rFonts w:hint="eastAsia"/>
        </w:rPr>
        <w:t>一个</w:t>
      </w:r>
      <w:r>
        <w:t>产品系统在其整个生命周期内的输入、输出和潜在环境影响的汇编和评估。</w:t>
      </w:r>
    </w:p>
    <w:p w14:paraId="51B5F523">
      <w:pPr>
        <w:pStyle w:val="183"/>
      </w:pPr>
      <w:r>
        <w:rPr>
          <w:rFonts w:hint="eastAsia"/>
        </w:rPr>
        <w:t>“环境</w:t>
      </w:r>
      <w:r>
        <w:t>影响</w:t>
      </w:r>
      <w:r>
        <w:rPr>
          <w:rFonts w:hint="eastAsia"/>
        </w:rPr>
        <w:t>”的</w:t>
      </w:r>
      <w:r>
        <w:t>定义请见</w:t>
      </w:r>
      <w:r>
        <w:rPr>
          <w:rFonts w:hint="eastAsia"/>
        </w:rPr>
        <w:t>GB/T 24001-2016，3.2.4。</w:t>
      </w:r>
    </w:p>
    <w:p w14:paraId="4C8A23BE">
      <w:pPr>
        <w:pStyle w:val="60"/>
        <w:ind w:firstLine="420"/>
      </w:pPr>
      <w:r>
        <w:rPr>
          <w:rFonts w:hint="eastAsia"/>
        </w:rPr>
        <w:t>[来源：GB/T 24067-2024，3</w:t>
      </w:r>
      <w:r>
        <w:t>.4.3</w:t>
      </w:r>
      <w:r>
        <w:rPr>
          <w:rFonts w:hint="eastAsia"/>
        </w:rPr>
        <w:t>]</w:t>
      </w:r>
    </w:p>
    <w:p w14:paraId="08BCA664">
      <w:pPr>
        <w:pStyle w:val="227"/>
        <w:ind w:left="420" w:hanging="420" w:hangingChars="200"/>
        <w:rPr>
          <w:rFonts w:hint="eastAsia" w:ascii="黑体" w:hAnsi="黑体" w:eastAsia="黑体"/>
        </w:rPr>
      </w:pPr>
    </w:p>
    <w:p w14:paraId="6A8A1CAB">
      <w:pPr>
        <w:pStyle w:val="227"/>
        <w:numPr>
          <w:ilvl w:val="0"/>
          <w:numId w:val="0"/>
        </w:numPr>
        <w:ind w:left="420"/>
        <w:rPr>
          <w:rFonts w:hint="eastAsia" w:ascii="黑体" w:hAnsi="黑体" w:eastAsia="黑体"/>
        </w:rPr>
      </w:pPr>
      <w:r>
        <w:rPr>
          <w:rFonts w:hint="eastAsia" w:ascii="黑体" w:hAnsi="黑体" w:eastAsia="黑体"/>
        </w:rPr>
        <w:t xml:space="preserve">系统边界 </w:t>
      </w:r>
      <w:r>
        <w:rPr>
          <w:rFonts w:ascii="黑体" w:hAnsi="黑体" w:eastAsia="黑体"/>
        </w:rPr>
        <w:t xml:space="preserve"> system boundary</w:t>
      </w:r>
    </w:p>
    <w:p w14:paraId="4F7AB47F">
      <w:pPr>
        <w:pStyle w:val="60"/>
        <w:ind w:firstLine="420"/>
      </w:pPr>
      <w:r>
        <w:rPr>
          <w:rFonts w:hint="eastAsia"/>
        </w:rPr>
        <w:t>通过一组</w:t>
      </w:r>
      <w:r>
        <w:t>准则</w:t>
      </w:r>
      <w:r>
        <w:rPr>
          <w:rFonts w:hint="eastAsia"/>
        </w:rPr>
        <w:t>确定哪些单元过程属于产品</w:t>
      </w:r>
      <w:r>
        <w:t>系统</w:t>
      </w:r>
      <w:r>
        <w:rPr>
          <w:rFonts w:hint="eastAsia"/>
        </w:rPr>
        <w:t>的</w:t>
      </w:r>
      <w:r>
        <w:t>一部分。</w:t>
      </w:r>
    </w:p>
    <w:p w14:paraId="316B46F3">
      <w:pPr>
        <w:pStyle w:val="60"/>
        <w:ind w:firstLine="420"/>
      </w:pPr>
      <w:r>
        <w:t>[</w:t>
      </w:r>
      <w:r>
        <w:rPr>
          <w:rFonts w:hint="eastAsia"/>
        </w:rPr>
        <w:t>来源：GB/T 240</w:t>
      </w:r>
      <w:r>
        <w:t>67</w:t>
      </w:r>
      <w:r>
        <w:rPr>
          <w:rFonts w:hint="eastAsia"/>
        </w:rPr>
        <w:t>-20</w:t>
      </w:r>
      <w:r>
        <w:t>24</w:t>
      </w:r>
      <w:r>
        <w:rPr>
          <w:rFonts w:hint="eastAsia"/>
        </w:rPr>
        <w:t>，3.</w:t>
      </w:r>
      <w:r>
        <w:t>3.4]</w:t>
      </w:r>
    </w:p>
    <w:p w14:paraId="550BA458">
      <w:pPr>
        <w:pStyle w:val="227"/>
        <w:ind w:left="420" w:hanging="420" w:hangingChars="200"/>
        <w:rPr>
          <w:rFonts w:hint="eastAsia" w:ascii="黑体" w:hAnsi="黑体" w:eastAsia="黑体"/>
        </w:rPr>
      </w:pPr>
    </w:p>
    <w:p w14:paraId="7B8DB7CF">
      <w:pPr>
        <w:pStyle w:val="227"/>
        <w:numPr>
          <w:ilvl w:val="0"/>
          <w:numId w:val="0"/>
        </w:numPr>
        <w:ind w:left="420"/>
        <w:rPr>
          <w:rFonts w:hint="eastAsia" w:ascii="黑体" w:hAnsi="黑体" w:eastAsia="黑体"/>
        </w:rPr>
      </w:pPr>
      <w:r>
        <w:rPr>
          <w:rFonts w:hint="eastAsia" w:ascii="黑体" w:hAnsi="黑体" w:eastAsia="黑体"/>
        </w:rPr>
        <w:t>声明</w:t>
      </w:r>
      <w:r>
        <w:rPr>
          <w:rFonts w:ascii="黑体" w:hAnsi="黑体" w:eastAsia="黑体"/>
        </w:rPr>
        <w:t>单位</w:t>
      </w:r>
      <w:r>
        <w:rPr>
          <w:rFonts w:hint="eastAsia" w:ascii="黑体" w:hAnsi="黑体" w:eastAsia="黑体"/>
        </w:rPr>
        <w:t xml:space="preserve"> </w:t>
      </w:r>
      <w:r>
        <w:rPr>
          <w:rFonts w:ascii="黑体" w:hAnsi="黑体" w:eastAsia="黑体"/>
        </w:rPr>
        <w:t xml:space="preserve"> declared unit</w:t>
      </w:r>
    </w:p>
    <w:p w14:paraId="06D170BF">
      <w:pPr>
        <w:pStyle w:val="60"/>
        <w:ind w:firstLine="420"/>
      </w:pPr>
      <w:r>
        <w:rPr>
          <w:rFonts w:hint="eastAsia"/>
        </w:rPr>
        <w:t>用来</w:t>
      </w:r>
      <w:r>
        <w:t>量化产品部分碳足迹</w:t>
      </w:r>
      <w:r>
        <w:rPr>
          <w:rFonts w:hint="eastAsia"/>
        </w:rPr>
        <w:t>的</w:t>
      </w:r>
      <w:r>
        <w:t>基准单位。</w:t>
      </w:r>
    </w:p>
    <w:p w14:paraId="2BDEFC45">
      <w:pPr>
        <w:pStyle w:val="185"/>
      </w:pPr>
      <w:r>
        <w:rPr>
          <w:rFonts w:hint="eastAsia"/>
        </w:rPr>
        <w:t>质量</w:t>
      </w:r>
      <w:r>
        <w:t>（</w:t>
      </w:r>
      <w:r>
        <w:rPr>
          <w:rFonts w:hint="eastAsia"/>
        </w:rPr>
        <w:t>1</w:t>
      </w:r>
      <w:r>
        <w:t>kg</w:t>
      </w:r>
      <w:r>
        <w:rPr>
          <w:rFonts w:hint="eastAsia"/>
        </w:rPr>
        <w:t>粗钢</w:t>
      </w:r>
      <w:r>
        <w:t>）</w:t>
      </w:r>
      <w:r>
        <w:rPr>
          <w:rFonts w:hint="eastAsia"/>
        </w:rPr>
        <w:t>、</w:t>
      </w:r>
      <w:r>
        <w:t>体积（</w:t>
      </w:r>
      <w:r>
        <w:rPr>
          <w:rFonts w:hint="eastAsia"/>
        </w:rPr>
        <w:t>1L原油</w:t>
      </w:r>
      <w:r>
        <w:t>）</w:t>
      </w:r>
      <w:r>
        <w:rPr>
          <w:rFonts w:hint="eastAsia"/>
        </w:rPr>
        <w:t>。</w:t>
      </w:r>
    </w:p>
    <w:p w14:paraId="2480B557">
      <w:pPr>
        <w:pStyle w:val="186"/>
        <w:rPr>
          <w:sz w:val="21"/>
          <w:szCs w:val="21"/>
        </w:rPr>
      </w:pPr>
      <w:r>
        <w:rPr>
          <w:sz w:val="21"/>
          <w:szCs w:val="21"/>
        </w:rPr>
        <w:t>[</w:t>
      </w:r>
      <w:r>
        <w:rPr>
          <w:rFonts w:hint="eastAsia"/>
          <w:sz w:val="21"/>
          <w:szCs w:val="21"/>
        </w:rPr>
        <w:t>来源：GB/T 240</w:t>
      </w:r>
      <w:r>
        <w:rPr>
          <w:sz w:val="21"/>
          <w:szCs w:val="21"/>
        </w:rPr>
        <w:t>67</w:t>
      </w:r>
      <w:r>
        <w:rPr>
          <w:rFonts w:hint="eastAsia"/>
          <w:sz w:val="21"/>
          <w:szCs w:val="21"/>
        </w:rPr>
        <w:t>-20</w:t>
      </w:r>
      <w:r>
        <w:rPr>
          <w:sz w:val="21"/>
          <w:szCs w:val="21"/>
        </w:rPr>
        <w:t>24</w:t>
      </w:r>
      <w:r>
        <w:rPr>
          <w:rFonts w:hint="eastAsia"/>
          <w:sz w:val="21"/>
          <w:szCs w:val="21"/>
        </w:rPr>
        <w:t>，3.</w:t>
      </w:r>
      <w:r>
        <w:rPr>
          <w:sz w:val="21"/>
          <w:szCs w:val="21"/>
        </w:rPr>
        <w:t>3.8]</w:t>
      </w:r>
    </w:p>
    <w:p w14:paraId="2EA1EC32">
      <w:pPr>
        <w:pStyle w:val="227"/>
        <w:ind w:left="420" w:hanging="420" w:hangingChars="200"/>
        <w:rPr>
          <w:rFonts w:hint="eastAsia" w:ascii="黑体" w:hAnsi="黑体" w:eastAsia="黑体"/>
        </w:rPr>
      </w:pPr>
    </w:p>
    <w:p w14:paraId="78B98F03">
      <w:pPr>
        <w:pStyle w:val="227"/>
        <w:numPr>
          <w:ilvl w:val="0"/>
          <w:numId w:val="0"/>
        </w:numPr>
        <w:ind w:left="420"/>
        <w:rPr>
          <w:rFonts w:hint="eastAsia" w:ascii="黑体" w:hAnsi="黑体" w:eastAsia="黑体"/>
        </w:rPr>
      </w:pPr>
      <w:r>
        <w:rPr>
          <w:rFonts w:hint="eastAsia" w:ascii="黑体" w:hAnsi="黑体" w:eastAsia="黑体"/>
        </w:rPr>
        <w:t>数据</w:t>
      </w:r>
      <w:r>
        <w:rPr>
          <w:rFonts w:ascii="黑体" w:hAnsi="黑体" w:eastAsia="黑体"/>
        </w:rPr>
        <w:t>质量</w:t>
      </w:r>
      <w:r>
        <w:rPr>
          <w:rFonts w:hint="eastAsia" w:ascii="黑体" w:hAnsi="黑体" w:eastAsia="黑体"/>
        </w:rPr>
        <w:t xml:space="preserve"> </w:t>
      </w:r>
      <w:r>
        <w:rPr>
          <w:rFonts w:ascii="黑体" w:hAnsi="黑体" w:eastAsia="黑体"/>
        </w:rPr>
        <w:t xml:space="preserve"> data quality</w:t>
      </w:r>
    </w:p>
    <w:p w14:paraId="01B06014">
      <w:pPr>
        <w:pStyle w:val="60"/>
        <w:ind w:firstLine="420"/>
      </w:pPr>
      <w:r>
        <w:rPr>
          <w:rFonts w:hint="eastAsia"/>
        </w:rPr>
        <w:t>数据</w:t>
      </w:r>
      <w:r>
        <w:t>在</w:t>
      </w:r>
      <w:r>
        <w:rPr>
          <w:rFonts w:hint="eastAsia"/>
        </w:rPr>
        <w:t>满足</w:t>
      </w:r>
      <w:r>
        <w:t>所</w:t>
      </w:r>
      <w:r>
        <w:rPr>
          <w:rFonts w:hint="eastAsia"/>
        </w:rPr>
        <w:t>声明的</w:t>
      </w:r>
      <w:r>
        <w:t>要求方面</w:t>
      </w:r>
      <w:r>
        <w:rPr>
          <w:rFonts w:hint="eastAsia"/>
        </w:rPr>
        <w:t>的</w:t>
      </w:r>
      <w:r>
        <w:t>能力特性</w:t>
      </w:r>
      <w:r>
        <w:rPr>
          <w:rFonts w:hint="eastAsia"/>
        </w:rPr>
        <w:t>。</w:t>
      </w:r>
    </w:p>
    <w:p w14:paraId="666287A6">
      <w:pPr>
        <w:pStyle w:val="60"/>
        <w:ind w:firstLine="420"/>
      </w:pPr>
      <w:r>
        <w:t>[</w:t>
      </w:r>
      <w:r>
        <w:rPr>
          <w:rFonts w:hint="eastAsia"/>
        </w:rPr>
        <w:t>来源：GB/T 240</w:t>
      </w:r>
      <w:r>
        <w:t>40</w:t>
      </w:r>
      <w:r>
        <w:rPr>
          <w:rFonts w:hint="eastAsia"/>
        </w:rPr>
        <w:t>-200</w:t>
      </w:r>
      <w:r>
        <w:t>8</w:t>
      </w:r>
      <w:r>
        <w:rPr>
          <w:rFonts w:hint="eastAsia"/>
        </w:rPr>
        <w:t>，3.</w:t>
      </w:r>
      <w:r>
        <w:t>19]</w:t>
      </w:r>
    </w:p>
    <w:p w14:paraId="606726DF">
      <w:pPr>
        <w:pStyle w:val="227"/>
        <w:ind w:left="420" w:hanging="420" w:hangingChars="200"/>
        <w:rPr>
          <w:rFonts w:hint="eastAsia" w:ascii="黑体" w:hAnsi="黑体" w:eastAsia="黑体"/>
        </w:rPr>
      </w:pPr>
    </w:p>
    <w:p w14:paraId="6CFAE7D6">
      <w:pPr>
        <w:pStyle w:val="227"/>
        <w:numPr>
          <w:ilvl w:val="0"/>
          <w:numId w:val="0"/>
        </w:numPr>
        <w:ind w:left="420"/>
        <w:rPr>
          <w:rFonts w:hint="eastAsia" w:ascii="黑体" w:hAnsi="黑体" w:eastAsia="黑体"/>
        </w:rPr>
      </w:pPr>
      <w:r>
        <w:rPr>
          <w:rFonts w:hint="eastAsia" w:ascii="黑体" w:hAnsi="黑体" w:eastAsia="黑体"/>
        </w:rPr>
        <w:t>初级</w:t>
      </w:r>
      <w:r>
        <w:rPr>
          <w:rFonts w:ascii="黑体" w:hAnsi="黑体" w:eastAsia="黑体"/>
        </w:rPr>
        <w:t>数据</w:t>
      </w:r>
      <w:r>
        <w:rPr>
          <w:rFonts w:hint="eastAsia" w:ascii="黑体" w:hAnsi="黑体" w:eastAsia="黑体"/>
        </w:rPr>
        <w:t xml:space="preserve">  </w:t>
      </w:r>
      <w:r>
        <w:rPr>
          <w:rFonts w:ascii="黑体" w:hAnsi="黑体" w:eastAsia="黑体"/>
        </w:rPr>
        <w:t>primary data</w:t>
      </w:r>
    </w:p>
    <w:p w14:paraId="709CE93C">
      <w:pPr>
        <w:pStyle w:val="60"/>
        <w:ind w:firstLine="420"/>
      </w:pPr>
      <w:r>
        <w:rPr>
          <w:rFonts w:hint="eastAsia"/>
        </w:rPr>
        <w:t>通过直接</w:t>
      </w:r>
      <w:r>
        <w:t>测量或基于直接测量</w:t>
      </w:r>
      <w:r>
        <w:rPr>
          <w:rFonts w:hint="eastAsia"/>
        </w:rPr>
        <w:t>的</w:t>
      </w:r>
      <w:r>
        <w:t>计算得到的</w:t>
      </w:r>
      <w:r>
        <w:rPr>
          <w:rFonts w:hint="eastAsia"/>
        </w:rPr>
        <w:t>过程</w:t>
      </w:r>
      <w:r>
        <w:t>或</w:t>
      </w:r>
      <w:r>
        <w:rPr>
          <w:rFonts w:hint="eastAsia"/>
        </w:rPr>
        <w:t>活动</w:t>
      </w:r>
      <w:r>
        <w:t>的量化值。</w:t>
      </w:r>
    </w:p>
    <w:p w14:paraId="4EACA399">
      <w:pPr>
        <w:pStyle w:val="184"/>
        <w:numPr>
          <w:ilvl w:val="0"/>
          <w:numId w:val="36"/>
        </w:numPr>
      </w:pPr>
      <w:r>
        <w:rPr>
          <w:rFonts w:hint="eastAsia"/>
        </w:rPr>
        <w:t>初级数据并非必须来自所研究的产品系统，因为初级数据可能涉及其他与所研究的产品系统具有可比性的产品系统。</w:t>
      </w:r>
    </w:p>
    <w:p w14:paraId="500D07B6">
      <w:pPr>
        <w:pStyle w:val="184"/>
        <w:numPr>
          <w:ilvl w:val="0"/>
          <w:numId w:val="36"/>
        </w:numPr>
      </w:pPr>
      <w:r>
        <w:rPr>
          <w:rFonts w:hint="eastAsia"/>
        </w:rPr>
        <w:t>初级</w:t>
      </w:r>
      <w:r>
        <w:t>数据可以包含温室气体</w:t>
      </w:r>
      <w:r>
        <w:rPr>
          <w:rFonts w:hint="eastAsia"/>
        </w:rPr>
        <w:t>排放</w:t>
      </w:r>
      <w:r>
        <w:t>因子</w:t>
      </w:r>
      <w:r>
        <w:rPr>
          <w:rFonts w:hint="eastAsia"/>
        </w:rPr>
        <w:t>或</w:t>
      </w:r>
      <w:r>
        <w:t>温室气体</w:t>
      </w:r>
      <w:r>
        <w:rPr>
          <w:rFonts w:hint="eastAsia"/>
        </w:rPr>
        <w:t>活动</w:t>
      </w:r>
      <w:r>
        <w:t>数据。</w:t>
      </w:r>
    </w:p>
    <w:p w14:paraId="1EEDB6DF">
      <w:pPr>
        <w:pStyle w:val="184"/>
        <w:numPr>
          <w:ilvl w:val="0"/>
          <w:numId w:val="0"/>
        </w:numPr>
        <w:ind w:left="363"/>
        <w:rPr>
          <w:sz w:val="21"/>
          <w:szCs w:val="21"/>
        </w:rPr>
      </w:pPr>
      <w:r>
        <w:rPr>
          <w:rFonts w:hint="eastAsia"/>
          <w:sz w:val="21"/>
          <w:szCs w:val="21"/>
        </w:rPr>
        <w:t>[来源：GB/T 24067-2024，3.6.1]</w:t>
      </w:r>
    </w:p>
    <w:p w14:paraId="4167C2E4">
      <w:pPr>
        <w:pStyle w:val="227"/>
        <w:ind w:left="420" w:hanging="420" w:hangingChars="200"/>
        <w:rPr>
          <w:rFonts w:hint="eastAsia" w:ascii="黑体" w:hAnsi="黑体" w:eastAsia="黑体"/>
        </w:rPr>
      </w:pPr>
    </w:p>
    <w:p w14:paraId="208D561D">
      <w:pPr>
        <w:pStyle w:val="227"/>
        <w:numPr>
          <w:ilvl w:val="0"/>
          <w:numId w:val="0"/>
        </w:numPr>
        <w:ind w:left="420"/>
        <w:rPr>
          <w:rFonts w:hint="eastAsia" w:ascii="黑体" w:hAnsi="黑体" w:eastAsia="黑体"/>
        </w:rPr>
      </w:pPr>
      <w:r>
        <w:rPr>
          <w:rFonts w:hint="eastAsia" w:ascii="黑体" w:hAnsi="黑体" w:eastAsia="黑体"/>
        </w:rPr>
        <w:t>次级</w:t>
      </w:r>
      <w:r>
        <w:rPr>
          <w:rFonts w:ascii="黑体" w:hAnsi="黑体" w:eastAsia="黑体"/>
        </w:rPr>
        <w:t>数据</w:t>
      </w:r>
      <w:r>
        <w:rPr>
          <w:rFonts w:hint="eastAsia" w:ascii="黑体" w:hAnsi="黑体" w:eastAsia="黑体"/>
        </w:rPr>
        <w:t xml:space="preserve"> </w:t>
      </w:r>
      <w:r>
        <w:rPr>
          <w:rFonts w:ascii="黑体" w:hAnsi="黑体" w:eastAsia="黑体"/>
        </w:rPr>
        <w:t xml:space="preserve"> secondary data</w:t>
      </w:r>
    </w:p>
    <w:p w14:paraId="692D6CDA">
      <w:pPr>
        <w:pStyle w:val="60"/>
        <w:ind w:firstLine="420"/>
      </w:pPr>
      <w:r>
        <w:rPr>
          <w:rFonts w:hint="eastAsia"/>
        </w:rPr>
        <w:t>不符合</w:t>
      </w:r>
      <w:r>
        <w:t>初级数据</w:t>
      </w:r>
      <w:r>
        <w:rPr>
          <w:rFonts w:hint="eastAsia"/>
        </w:rPr>
        <w:t>要求</w:t>
      </w:r>
      <w:r>
        <w:t>的数据</w:t>
      </w:r>
      <w:r>
        <w:rPr>
          <w:rFonts w:hint="eastAsia"/>
        </w:rPr>
        <w:t>。</w:t>
      </w:r>
    </w:p>
    <w:p w14:paraId="0EB5CAA1">
      <w:pPr>
        <w:pStyle w:val="184"/>
        <w:numPr>
          <w:ilvl w:val="0"/>
          <w:numId w:val="37"/>
        </w:numPr>
      </w:pPr>
      <w:r>
        <w:rPr>
          <w:rFonts w:hint="eastAsia"/>
        </w:rPr>
        <w:t>次级</w:t>
      </w:r>
      <w:r>
        <w:t>数据</w:t>
      </w:r>
      <w:r>
        <w:rPr>
          <w:rFonts w:hint="eastAsia"/>
        </w:rPr>
        <w:t>是经</w:t>
      </w:r>
      <w:r>
        <w:t>权威机构</w:t>
      </w:r>
      <w:r>
        <w:rPr>
          <w:rFonts w:hint="eastAsia"/>
        </w:rPr>
        <w:t>验证</w:t>
      </w:r>
      <w:r>
        <w:t>且具有可信度的数据，可来源于数据库、公开文献、国家排放因子、计算估算数据或其他具有代表性的数据，推荐使用本土化数据库。</w:t>
      </w:r>
    </w:p>
    <w:p w14:paraId="6F2B3763">
      <w:pPr>
        <w:pStyle w:val="184"/>
      </w:pPr>
      <w:r>
        <w:rPr>
          <w:rFonts w:hint="eastAsia"/>
        </w:rPr>
        <w:t>次级</w:t>
      </w:r>
      <w:r>
        <w:t>数据可包括从代替过程或估计获得的数据。</w:t>
      </w:r>
    </w:p>
    <w:p w14:paraId="67F8B3F1">
      <w:pPr>
        <w:pStyle w:val="60"/>
        <w:ind w:firstLine="420"/>
        <w:rPr>
          <w:szCs w:val="21"/>
        </w:rPr>
      </w:pPr>
      <w:r>
        <w:rPr>
          <w:szCs w:val="21"/>
        </w:rPr>
        <w:t>[</w:t>
      </w:r>
      <w:r>
        <w:rPr>
          <w:rFonts w:hint="eastAsia"/>
          <w:szCs w:val="21"/>
        </w:rPr>
        <w:t>来源：</w:t>
      </w:r>
      <w:r>
        <w:rPr>
          <w:szCs w:val="21"/>
        </w:rPr>
        <w:t>GB/T</w:t>
      </w:r>
      <w:r>
        <w:rPr>
          <w:rFonts w:hint="eastAsia"/>
          <w:szCs w:val="21"/>
        </w:rPr>
        <w:t xml:space="preserve"> </w:t>
      </w:r>
      <w:r>
        <w:rPr>
          <w:szCs w:val="21"/>
        </w:rPr>
        <w:t>2</w:t>
      </w:r>
      <w:r>
        <w:rPr>
          <w:rFonts w:hint="eastAsia"/>
          <w:szCs w:val="21"/>
        </w:rPr>
        <w:t>4067-20</w:t>
      </w:r>
      <w:r>
        <w:rPr>
          <w:szCs w:val="21"/>
        </w:rPr>
        <w:t>24</w:t>
      </w:r>
      <w:r>
        <w:rPr>
          <w:rFonts w:hint="eastAsia"/>
          <w:szCs w:val="21"/>
        </w:rPr>
        <w:t>，3</w:t>
      </w:r>
      <w:r>
        <w:rPr>
          <w:szCs w:val="21"/>
        </w:rPr>
        <w:t>.6.3]</w:t>
      </w:r>
    </w:p>
    <w:p w14:paraId="7C70B150">
      <w:pPr>
        <w:pStyle w:val="227"/>
        <w:rPr>
          <w:rFonts w:hint="eastAsia" w:ascii="黑体" w:hAnsi="黑体" w:eastAsia="黑体"/>
        </w:rPr>
      </w:pPr>
    </w:p>
    <w:p w14:paraId="6450B909">
      <w:pPr>
        <w:pStyle w:val="227"/>
        <w:numPr>
          <w:ilvl w:val="0"/>
          <w:numId w:val="0"/>
        </w:numPr>
        <w:ind w:firstLine="210" w:firstLineChars="100"/>
        <w:rPr>
          <w:rFonts w:hint="eastAsia" w:ascii="黑体" w:hAnsi="黑体" w:eastAsia="黑体"/>
        </w:rPr>
      </w:pPr>
      <w:r>
        <w:rPr>
          <w:rFonts w:hint="eastAsia" w:ascii="黑体" w:hAnsi="黑体" w:eastAsia="黑体"/>
        </w:rPr>
        <w:t>取舍准则  cut-off criteria</w:t>
      </w:r>
    </w:p>
    <w:p w14:paraId="07D78C27">
      <w:pPr>
        <w:pStyle w:val="166"/>
        <w:numPr>
          <w:ilvl w:val="0"/>
          <w:numId w:val="0"/>
        </w:numPr>
        <w:ind w:left="210" w:leftChars="100"/>
      </w:pPr>
      <w:r>
        <w:rPr>
          <w:rFonts w:hint="eastAsia"/>
        </w:rPr>
        <w:t>对与单元过程或产品系统相关的物质和能量流的数量或环境影响重要性程度是否被排除在研究范围之外所做出的规定。</w:t>
      </w:r>
    </w:p>
    <w:p w14:paraId="22823749">
      <w:pPr>
        <w:pStyle w:val="227"/>
        <w:rPr>
          <w:rFonts w:hint="eastAsia" w:ascii="黑体" w:hAnsi="黑体" w:eastAsia="黑体"/>
        </w:rPr>
      </w:pPr>
    </w:p>
    <w:p w14:paraId="58323F1B">
      <w:pPr>
        <w:pStyle w:val="227"/>
        <w:numPr>
          <w:ilvl w:val="0"/>
          <w:numId w:val="0"/>
        </w:numPr>
        <w:ind w:firstLine="420" w:firstLineChars="200"/>
        <w:rPr>
          <w:rFonts w:hint="eastAsia" w:ascii="黑体" w:hAnsi="黑体" w:eastAsia="黑体"/>
        </w:rPr>
      </w:pPr>
      <w:r>
        <w:rPr>
          <w:rFonts w:hint="eastAsia" w:ascii="黑体" w:hAnsi="黑体" w:eastAsia="黑体"/>
        </w:rPr>
        <w:t>取舍准则  cut-off criteria</w:t>
      </w:r>
    </w:p>
    <w:p w14:paraId="1AABDCBB">
      <w:pPr>
        <w:pStyle w:val="227"/>
        <w:numPr>
          <w:ilvl w:val="0"/>
          <w:numId w:val="0"/>
        </w:numPr>
        <w:ind w:firstLine="420" w:firstLineChars="200"/>
      </w:pPr>
      <w:r>
        <w:rPr>
          <w:rFonts w:hint="eastAsia"/>
        </w:rPr>
        <w:t>对与单元过程或产品系统相关的物质和能量流的数量或环境影响重要性程度是否被排除在研究范围之外所做出的规定。</w:t>
      </w:r>
    </w:p>
    <w:p w14:paraId="4E3FB751">
      <w:pPr>
        <w:pStyle w:val="227"/>
        <w:numPr>
          <w:ilvl w:val="0"/>
          <w:numId w:val="0"/>
        </w:numPr>
        <w:ind w:firstLine="315" w:firstLineChars="150"/>
        <w:rPr>
          <w:sz w:val="18"/>
          <w:szCs w:val="18"/>
        </w:rPr>
      </w:pPr>
      <w:r>
        <w:rPr>
          <w:rFonts w:hint="eastAsia" w:ascii="黑体" w:hAnsi="黑体" w:eastAsia="黑体"/>
        </w:rPr>
        <w:t>注：</w:t>
      </w:r>
      <w:r>
        <w:rPr>
          <w:rFonts w:hint="eastAsia"/>
          <w:sz w:val="18"/>
          <w:szCs w:val="18"/>
        </w:rPr>
        <w:t>“能量流”的定义见GB/T 24040-2008,3.13。</w:t>
      </w:r>
    </w:p>
    <w:p w14:paraId="0C303DD8">
      <w:pPr>
        <w:pStyle w:val="227"/>
        <w:numPr>
          <w:ilvl w:val="0"/>
          <w:numId w:val="0"/>
        </w:numPr>
        <w:ind w:firstLine="210" w:firstLineChars="100"/>
        <w:rPr>
          <w:szCs w:val="21"/>
        </w:rPr>
      </w:pPr>
      <w:r>
        <w:rPr>
          <w:rFonts w:hint="eastAsia"/>
          <w:szCs w:val="21"/>
        </w:rPr>
        <w:t>[来源：GB/T 24067-2024，3.4.1]</w:t>
      </w:r>
    </w:p>
    <w:p w14:paraId="4B1C22CE">
      <w:pPr>
        <w:pStyle w:val="108"/>
        <w:spacing w:before="240" w:after="240"/>
      </w:pPr>
      <w:r>
        <w:rPr>
          <w:rFonts w:hint="eastAsia"/>
        </w:rPr>
        <w:t>量化范围</w:t>
      </w:r>
    </w:p>
    <w:p w14:paraId="11701527">
      <w:pPr>
        <w:pStyle w:val="109"/>
        <w:spacing w:before="120" w:after="120"/>
      </w:pPr>
      <w:r>
        <w:rPr>
          <w:rFonts w:hint="eastAsia"/>
        </w:rPr>
        <w:t>目标产品</w:t>
      </w:r>
    </w:p>
    <w:p w14:paraId="4BC39619">
      <w:pPr>
        <w:pStyle w:val="60"/>
        <w:ind w:firstLine="420"/>
      </w:pPr>
      <w:r>
        <w:rPr>
          <w:rFonts w:hint="eastAsia"/>
        </w:rPr>
        <w:t>本标准适用于以下三类液态乳制品：</w:t>
      </w:r>
    </w:p>
    <w:p w14:paraId="296217AC">
      <w:pPr>
        <w:pStyle w:val="136"/>
        <w:rPr>
          <w:highlight w:val="none"/>
        </w:rPr>
      </w:pPr>
      <w:r>
        <w:rPr>
          <w:rFonts w:hint="eastAsia"/>
          <w:highlight w:val="none"/>
        </w:rPr>
        <w:t>巴氏杀菌乳：以</w:t>
      </w:r>
      <w:r>
        <w:rPr>
          <w:highlight w:val="none"/>
        </w:rPr>
        <w:t>100%</w:t>
      </w:r>
      <w:r>
        <w:rPr>
          <w:rFonts w:hint="eastAsia"/>
          <w:highlight w:val="none"/>
        </w:rPr>
        <w:t>生牛乳为原料，经巴氏杀菌（62 ℃～90 ℃）工艺制成的液体产品；</w:t>
      </w:r>
    </w:p>
    <w:p w14:paraId="3332EC1D">
      <w:pPr>
        <w:pStyle w:val="136"/>
        <w:rPr>
          <w:highlight w:val="none"/>
        </w:rPr>
      </w:pPr>
      <w:r>
        <w:rPr>
          <w:rFonts w:hint="eastAsia"/>
          <w:highlight w:val="none"/>
        </w:rPr>
        <w:t>灭菌乳：以生牛乳或复原乳为原料，经灭菌（≥132℃）工艺制成的液体产品；</w:t>
      </w:r>
    </w:p>
    <w:p w14:paraId="4398EB14">
      <w:pPr>
        <w:pStyle w:val="136"/>
        <w:rPr>
          <w:highlight w:val="none"/>
        </w:rPr>
      </w:pPr>
      <w:r>
        <w:rPr>
          <w:rFonts w:hint="eastAsia"/>
          <w:highlight w:val="none"/>
        </w:rPr>
        <w:t>调制乳：以生牛乳（含量≥80%）为主要原料，添加其他原料或食品添加剂，经杀菌（85 ℃～140 ℃）工艺制成的液体产品。</w:t>
      </w:r>
    </w:p>
    <w:p w14:paraId="5C7F303C">
      <w:pPr>
        <w:pStyle w:val="183"/>
      </w:pPr>
      <w:r>
        <w:rPr>
          <w:rFonts w:hint="eastAsia"/>
        </w:rPr>
        <w:t>不包括其他非液态乳制品。</w:t>
      </w:r>
    </w:p>
    <w:p w14:paraId="166A6310">
      <w:pPr>
        <w:pStyle w:val="109"/>
        <w:spacing w:before="120" w:after="120"/>
      </w:pPr>
      <w:r>
        <w:rPr>
          <w:rFonts w:hint="eastAsia"/>
        </w:rPr>
        <w:t>产品描述</w:t>
      </w:r>
    </w:p>
    <w:p w14:paraId="0A671A8F">
      <w:pPr>
        <w:pStyle w:val="166"/>
        <w:numPr>
          <w:ilvl w:val="0"/>
          <w:numId w:val="0"/>
        </w:numPr>
        <w:ind w:firstLine="420" w:firstLineChars="200"/>
      </w:pPr>
      <w:r>
        <w:rPr>
          <w:rFonts w:hint="eastAsia"/>
        </w:rPr>
        <w:t>产品描述应使用户能够清晰识别产品,并可参照</w:t>
      </w:r>
      <w:r>
        <w:t>GB 19645-2010</w:t>
      </w:r>
      <w:r>
        <w:rPr>
          <w:rFonts w:hint="eastAsia"/>
        </w:rPr>
        <w:t>、</w:t>
      </w:r>
      <w:r>
        <w:t>GB 25190-2010</w:t>
      </w:r>
      <w:r>
        <w:rPr>
          <w:rFonts w:hint="eastAsia"/>
        </w:rPr>
        <w:t>、</w:t>
      </w:r>
      <w:r>
        <w:t>GB 25191-2010</w:t>
      </w:r>
      <w:r>
        <w:rPr>
          <w:rFonts w:hint="eastAsia"/>
        </w:rPr>
        <w:t>的要求进行描述，描述内容包括但不限于：</w:t>
      </w:r>
    </w:p>
    <w:p w14:paraId="4059A2AA">
      <w:pPr>
        <w:pStyle w:val="60"/>
        <w:ind w:firstLine="420"/>
        <w:rPr>
          <w:strike w:val="0"/>
          <w:highlight w:val="none"/>
        </w:rPr>
      </w:pPr>
      <w:r>
        <w:rPr>
          <w:rFonts w:hint="eastAsia"/>
          <w:strike w:val="0"/>
          <w:highlight w:val="none"/>
        </w:rPr>
        <w:t>a)</w:t>
      </w:r>
      <w:r>
        <w:rPr>
          <w:strike w:val="0"/>
          <w:highlight w:val="none"/>
        </w:rPr>
        <w:t xml:space="preserve"> </w:t>
      </w:r>
      <w:r>
        <w:rPr>
          <w:rFonts w:hint="eastAsia"/>
          <w:strike w:val="0"/>
          <w:highlight w:val="none"/>
        </w:rPr>
        <w:t>原料组成：巴氏杀菌乳，生牛乳比例100%。灭菌乳，生牛乳或复原乳比例及复原比例。调制乳，生牛乳最低比例80%，添加物类别（如营养素、果蔬汁）；</w:t>
      </w:r>
    </w:p>
    <w:p w14:paraId="180B6D45">
      <w:pPr>
        <w:pStyle w:val="60"/>
        <w:ind w:firstLine="420"/>
        <w:rPr>
          <w:strike w:val="0"/>
          <w:highlight w:val="none"/>
        </w:rPr>
      </w:pPr>
      <w:r>
        <w:rPr>
          <w:rFonts w:hint="eastAsia"/>
          <w:strike w:val="0"/>
          <w:highlight w:val="none"/>
        </w:rPr>
        <w:t>b)</w:t>
      </w:r>
      <w:r>
        <w:rPr>
          <w:strike w:val="0"/>
          <w:highlight w:val="none"/>
        </w:rPr>
        <w:t xml:space="preserve"> </w:t>
      </w:r>
      <w:r>
        <w:rPr>
          <w:rFonts w:hint="eastAsia"/>
          <w:strike w:val="0"/>
          <w:highlight w:val="none"/>
        </w:rPr>
        <w:t>核心工艺参数：杀菌温度范围，巴氏杀菌乳62</w:t>
      </w:r>
      <w:r>
        <w:rPr>
          <w:strike w:val="0"/>
          <w:highlight w:val="none"/>
        </w:rPr>
        <w:t xml:space="preserve"> </w:t>
      </w:r>
      <w:r>
        <w:rPr>
          <w:rFonts w:hint="eastAsia"/>
          <w:strike w:val="0"/>
          <w:highlight w:val="none"/>
        </w:rPr>
        <w:t>℃～90</w:t>
      </w:r>
      <w:r>
        <w:rPr>
          <w:strike w:val="0"/>
          <w:highlight w:val="none"/>
        </w:rPr>
        <w:t xml:space="preserve"> </w:t>
      </w:r>
      <w:r>
        <w:rPr>
          <w:rFonts w:hint="eastAsia"/>
          <w:strike w:val="0"/>
          <w:highlight w:val="none"/>
        </w:rPr>
        <w:t>℃，灭菌乳≥132℃，调制乳85</w:t>
      </w:r>
      <w:r>
        <w:rPr>
          <w:strike w:val="0"/>
          <w:highlight w:val="none"/>
        </w:rPr>
        <w:t xml:space="preserve"> </w:t>
      </w:r>
      <w:r>
        <w:rPr>
          <w:rFonts w:hint="eastAsia"/>
          <w:strike w:val="0"/>
          <w:highlight w:val="none"/>
        </w:rPr>
        <w:t>℃～140</w:t>
      </w:r>
      <w:r>
        <w:rPr>
          <w:strike w:val="0"/>
          <w:highlight w:val="none"/>
        </w:rPr>
        <w:t xml:space="preserve"> </w:t>
      </w:r>
      <w:r>
        <w:rPr>
          <w:rFonts w:hint="eastAsia"/>
          <w:strike w:val="0"/>
          <w:highlight w:val="none"/>
        </w:rPr>
        <w:t>℃。灌装形式，巴氏杀菌乳（屋顶包/HDPE瓶），灭菌乳（无菌砖/无菌枕），调制乳（无菌砖/PP瓶）。冷链要求，巴氏杀菌乳全程≤6</w:t>
      </w:r>
      <w:r>
        <w:rPr>
          <w:strike w:val="0"/>
          <w:highlight w:val="none"/>
        </w:rPr>
        <w:t xml:space="preserve"> </w:t>
      </w:r>
      <w:r>
        <w:rPr>
          <w:rFonts w:hint="eastAsia"/>
          <w:strike w:val="0"/>
          <w:highlight w:val="none"/>
        </w:rPr>
        <w:t>℃，灭菌乳无需冷链，调制乳按添加物特性确定。</w:t>
      </w:r>
    </w:p>
    <w:p w14:paraId="32FCC2FE">
      <w:pPr>
        <w:pStyle w:val="60"/>
        <w:ind w:firstLine="420"/>
        <w:rPr>
          <w:strike w:val="0"/>
          <w:highlight w:val="none"/>
        </w:rPr>
      </w:pPr>
      <w:r>
        <w:rPr>
          <w:rFonts w:hint="eastAsia"/>
          <w:strike w:val="0"/>
          <w:highlight w:val="none"/>
        </w:rPr>
        <w:t>c)</w:t>
      </w:r>
      <w:r>
        <w:rPr>
          <w:strike w:val="0"/>
          <w:highlight w:val="none"/>
        </w:rPr>
        <w:t xml:space="preserve"> </w:t>
      </w:r>
      <w:r>
        <w:rPr>
          <w:rFonts w:hint="eastAsia"/>
          <w:strike w:val="0"/>
          <w:highlight w:val="none"/>
        </w:rPr>
        <w:t>产品基准密度：巴氏杀菌乳，1030 kg/m³。灭菌乳，1035 kg/m</w:t>
      </w:r>
      <w:r>
        <w:rPr>
          <w:rFonts w:hint="eastAsia"/>
          <w:strike w:val="0"/>
          <w:highlight w:val="none"/>
          <w:vertAlign w:val="superscript"/>
        </w:rPr>
        <w:t>3</w:t>
      </w:r>
      <w:r>
        <w:rPr>
          <w:rFonts w:hint="eastAsia"/>
          <w:strike w:val="0"/>
          <w:highlight w:val="none"/>
        </w:rPr>
        <w:t>。调制乳，1040 kg/m</w:t>
      </w:r>
      <w:r>
        <w:rPr>
          <w:rFonts w:hint="eastAsia"/>
          <w:strike w:val="0"/>
          <w:highlight w:val="none"/>
          <w:vertAlign w:val="superscript"/>
        </w:rPr>
        <w:t>3</w:t>
      </w:r>
      <w:r>
        <w:rPr>
          <w:rFonts w:hint="eastAsia"/>
          <w:strike w:val="0"/>
          <w:highlight w:val="none"/>
        </w:rPr>
        <w:t>（含谷物/果蔬添加物时采用1060 kg/m</w:t>
      </w:r>
      <w:r>
        <w:rPr>
          <w:rFonts w:hint="eastAsia"/>
          <w:strike w:val="0"/>
          <w:highlight w:val="none"/>
          <w:vertAlign w:val="superscript"/>
        </w:rPr>
        <w:t>3</w:t>
      </w:r>
      <w:r>
        <w:rPr>
          <w:rFonts w:hint="eastAsia"/>
          <w:strike w:val="0"/>
          <w:highlight w:val="none"/>
        </w:rPr>
        <w:t>）。</w:t>
      </w:r>
    </w:p>
    <w:p w14:paraId="25D145FE">
      <w:pPr>
        <w:pStyle w:val="168"/>
        <w:numPr>
          <w:ilvl w:val="0"/>
          <w:numId w:val="0"/>
        </w:numPr>
        <w:rPr>
          <w:strike w:val="0"/>
          <w:highlight w:val="none"/>
        </w:rPr>
      </w:pPr>
      <w:r>
        <w:rPr>
          <w:rFonts w:hint="eastAsia"/>
          <w:strike w:val="0"/>
          <w:highlight w:val="none"/>
        </w:rPr>
        <w:t>明确产品种类及参数，用于：</w:t>
      </w:r>
    </w:p>
    <w:p w14:paraId="6876F232">
      <w:pPr>
        <w:pStyle w:val="60"/>
        <w:ind w:firstLine="420"/>
        <w:rPr>
          <w:strike w:val="0"/>
          <w:highlight w:val="none"/>
        </w:rPr>
      </w:pPr>
      <w:r>
        <w:rPr>
          <w:rFonts w:hint="eastAsia"/>
          <w:strike w:val="0"/>
          <w:highlight w:val="none"/>
        </w:rPr>
        <w:t>a)确定系统边界内的工艺能耗基准；</w:t>
      </w:r>
    </w:p>
    <w:p w14:paraId="36364899">
      <w:pPr>
        <w:pStyle w:val="60"/>
        <w:ind w:firstLine="420"/>
        <w:rPr>
          <w:strike w:val="0"/>
          <w:highlight w:val="none"/>
        </w:rPr>
      </w:pPr>
      <w:r>
        <w:rPr>
          <w:rFonts w:hint="eastAsia"/>
          <w:strike w:val="0"/>
          <w:highlight w:val="none"/>
        </w:rPr>
        <w:t>b)核算包装材料碳排放当量；</w:t>
      </w:r>
    </w:p>
    <w:p w14:paraId="5B8BE6A7">
      <w:pPr>
        <w:pStyle w:val="60"/>
        <w:ind w:firstLine="420"/>
        <w:rPr>
          <w:strike w:val="0"/>
          <w:highlight w:val="none"/>
        </w:rPr>
      </w:pPr>
      <w:r>
        <w:rPr>
          <w:rFonts w:hint="eastAsia"/>
          <w:strike w:val="0"/>
          <w:highlight w:val="none"/>
        </w:rPr>
        <w:t>c)为分配计算提供质量转换依据。</w:t>
      </w:r>
    </w:p>
    <w:p w14:paraId="211C830A">
      <w:pPr>
        <w:pStyle w:val="109"/>
        <w:spacing w:before="120" w:after="120"/>
      </w:pPr>
      <w:r>
        <w:rPr>
          <w:rFonts w:hint="eastAsia"/>
        </w:rPr>
        <w:t>声明单位</w:t>
      </w:r>
    </w:p>
    <w:p w14:paraId="2F653492">
      <w:pPr>
        <w:pStyle w:val="166"/>
        <w:numPr>
          <w:ilvl w:val="0"/>
          <w:numId w:val="0"/>
        </w:numPr>
        <w:ind w:firstLine="420" w:firstLineChars="200"/>
      </w:pPr>
      <w:r>
        <w:rPr>
          <w:rFonts w:hint="eastAsia"/>
        </w:rPr>
        <w:t>本文件以“生产1吨液态乳制品的碳足迹”和“生产1吨液态乳制品的水足迹”为声明单位，即以1吨实际出厂的液态乳制品（包括巴氏杀菌乳、灭菌乳和调制乳）为</w:t>
      </w:r>
      <w:r>
        <w:rPr>
          <w:rFonts w:hint="eastAsia"/>
          <w:highlight w:val="none"/>
        </w:rPr>
        <w:t>声明</w:t>
      </w:r>
      <w:r>
        <w:rPr>
          <w:rFonts w:hint="eastAsia"/>
        </w:rPr>
        <w:t>单位进行产品碳足迹和水足迹的量化与通报（见附录A）。</w:t>
      </w:r>
    </w:p>
    <w:p w14:paraId="253E7DC5">
      <w:pPr>
        <w:pStyle w:val="166"/>
        <w:numPr>
          <w:ilvl w:val="0"/>
          <w:numId w:val="0"/>
        </w:numPr>
        <w:ind w:firstLine="420" w:firstLineChars="200"/>
      </w:pPr>
      <w:r>
        <w:rPr>
          <w:rFonts w:hint="eastAsia"/>
        </w:rPr>
        <w:t>当数据源涉及体积单位时，需按照本标准4.1.2条款规定的产品基准密度（如巴氏杀菌乳1030 kg/m</w:t>
      </w:r>
      <w:r>
        <w:rPr>
          <w:rFonts w:hint="eastAsia"/>
          <w:vertAlign w:val="superscript"/>
        </w:rPr>
        <w:t>3</w:t>
      </w:r>
      <w:r>
        <w:rPr>
          <w:rFonts w:hint="eastAsia"/>
        </w:rPr>
        <w:t>、含谷物调制乳1060 kg/m3）进行质量换算，所有分销端以“箱”或“托盘”计量的数据均需按JJF 1070-2005核定单件净含量后统一转换为吨单位。</w:t>
      </w:r>
    </w:p>
    <w:p w14:paraId="5DDBDF76">
      <w:pPr>
        <w:pStyle w:val="166"/>
        <w:numPr>
          <w:ilvl w:val="0"/>
          <w:numId w:val="0"/>
        </w:numPr>
        <w:rPr>
          <w:strike/>
        </w:rPr>
      </w:pPr>
    </w:p>
    <w:p w14:paraId="5718A0FC">
      <w:pPr>
        <w:pStyle w:val="109"/>
        <w:spacing w:before="120" w:after="120"/>
      </w:pPr>
      <w:r>
        <w:rPr>
          <w:rFonts w:hint="eastAsia"/>
        </w:rPr>
        <w:t>系统边界</w:t>
      </w:r>
    </w:p>
    <w:p w14:paraId="66E4CBB2">
      <w:pPr>
        <w:pStyle w:val="69"/>
        <w:spacing w:before="120" w:after="120"/>
        <w:ind w:left="0"/>
      </w:pPr>
      <w:r>
        <w:rPr>
          <w:rFonts w:hint="eastAsia"/>
        </w:rPr>
        <w:t>产品阶段流程</w:t>
      </w:r>
    </w:p>
    <w:p w14:paraId="1E331B4D">
      <w:pPr>
        <w:pStyle w:val="60"/>
        <w:ind w:firstLine="420"/>
      </w:pPr>
      <w:r>
        <w:rPr>
          <w:rFonts w:hint="eastAsia"/>
        </w:rPr>
        <w:t>液态乳制品产品碳水双足迹系统边界定义为“从摇篮到大门”，涵盖从</w:t>
      </w:r>
      <w:r>
        <w:t>资源输入端至产品交付终端的全过程</w:t>
      </w:r>
      <w:r>
        <w:rPr>
          <w:rFonts w:hint="eastAsia"/>
        </w:rPr>
        <w:t>，共分为两个阶段：</w:t>
      </w:r>
    </w:p>
    <w:p w14:paraId="1EA0E2A6">
      <w:pPr>
        <w:pStyle w:val="178"/>
      </w:pPr>
      <w:r>
        <w:rPr>
          <w:rFonts w:hint="eastAsia"/>
        </w:rPr>
        <w:t>原材料获取阶段（生乳原料和辅助材料的获取、运输）；</w:t>
      </w:r>
    </w:p>
    <w:p w14:paraId="6C1687AB">
      <w:pPr>
        <w:pStyle w:val="178"/>
      </w:pPr>
      <w:r>
        <w:rPr>
          <w:rFonts w:hint="eastAsia"/>
        </w:rPr>
        <w:t>产品生产加工阶段</w:t>
      </w:r>
    </w:p>
    <w:p w14:paraId="13B38343">
      <w:pPr>
        <w:pStyle w:val="60"/>
        <w:ind w:firstLine="420"/>
      </w:pPr>
      <w:r>
        <w:rPr>
          <w:rFonts w:hint="eastAsia"/>
        </w:rPr>
        <w:t>液态乳制品产品系统边界如图1所示，</w:t>
      </w:r>
    </w:p>
    <w:p w14:paraId="41267100">
      <w:pPr>
        <w:pStyle w:val="60"/>
        <w:spacing w:before="240" w:beforeLines="100" w:after="240" w:afterLines="100"/>
        <w:ind w:firstLine="0" w:firstLineChars="0"/>
      </w:pPr>
      <w:r>
        <w:drawing>
          <wp:inline distT="0" distB="0" distL="114300" distR="114300">
            <wp:extent cx="5936615" cy="3856355"/>
            <wp:effectExtent l="0" t="0" r="698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936615" cy="3856355"/>
                    </a:xfrm>
                    <a:prstGeom prst="rect">
                      <a:avLst/>
                    </a:prstGeom>
                    <a:noFill/>
                    <a:ln>
                      <a:noFill/>
                    </a:ln>
                  </pic:spPr>
                </pic:pic>
              </a:graphicData>
            </a:graphic>
          </wp:inline>
        </w:drawing>
      </w:r>
    </w:p>
    <w:p w14:paraId="7AC9F43F">
      <w:pPr>
        <w:pStyle w:val="118"/>
        <w:spacing w:before="120" w:after="120"/>
      </w:pPr>
      <w:r>
        <w:rPr>
          <w:rFonts w:hint="eastAsia"/>
        </w:rPr>
        <w:t>液态乳制品碳水足迹评价系统边界</w:t>
      </w:r>
    </w:p>
    <w:p w14:paraId="30AC20A1">
      <w:pPr>
        <w:pStyle w:val="69"/>
        <w:spacing w:before="120" w:after="120"/>
        <w:ind w:left="0"/>
      </w:pPr>
      <w:r>
        <w:rPr>
          <w:rFonts w:hint="eastAsia"/>
        </w:rPr>
        <w:t>产品阶段范围</w:t>
      </w:r>
    </w:p>
    <w:p w14:paraId="566C912F">
      <w:pPr>
        <w:pStyle w:val="60"/>
        <w:ind w:firstLine="420"/>
      </w:pPr>
      <w:r>
        <w:rPr>
          <w:rFonts w:hint="eastAsia"/>
        </w:rPr>
        <w:t>系统边界相互关联的核心阶段包括但不限于：原材料获取阶段、生产加工阶段、包装储运阶段。</w:t>
      </w:r>
    </w:p>
    <w:p w14:paraId="1E0AA9F8">
      <w:pPr>
        <w:pStyle w:val="98"/>
        <w:spacing w:before="120" w:after="120"/>
        <w:ind w:left="168" w:hanging="168"/>
      </w:pPr>
      <w:r>
        <w:t>原材料获取阶段</w:t>
      </w:r>
    </w:p>
    <w:p w14:paraId="1A27462B">
      <w:pPr>
        <w:pStyle w:val="102"/>
        <w:spacing w:before="120" w:after="120"/>
      </w:pPr>
      <w:r>
        <w:t>生乳生产系统</w:t>
      </w:r>
    </w:p>
    <w:p w14:paraId="6FBBA680">
      <w:pPr>
        <w:pStyle w:val="178"/>
      </w:pPr>
      <w:r>
        <w:t>奶牛养殖</w:t>
      </w:r>
      <w:r>
        <w:rPr>
          <w:rFonts w:hint="eastAsia"/>
        </w:rPr>
        <w:t>：</w:t>
      </w:r>
      <w:r>
        <w:t>饲喂管理、挤奶操作、粪污收集</w:t>
      </w:r>
      <w:r>
        <w:rPr>
          <w:rFonts w:hint="eastAsia"/>
        </w:rPr>
        <w:t>、奶牛肠道发酵CH</w:t>
      </w:r>
      <w:r>
        <w:rPr>
          <w:rFonts w:hint="eastAsia"/>
          <w:vertAlign w:val="subscript"/>
        </w:rPr>
        <w:t>4</w:t>
      </w:r>
      <w:r>
        <w:rPr>
          <w:rFonts w:hint="eastAsia"/>
        </w:rPr>
        <w:t>排放（反刍过程）、粪污处理过程N</w:t>
      </w:r>
      <w:r>
        <w:rPr>
          <w:rFonts w:hint="eastAsia"/>
          <w:vertAlign w:val="subscript"/>
        </w:rPr>
        <w:t>2</w:t>
      </w:r>
      <w:r>
        <w:rPr>
          <w:rFonts w:hint="eastAsia"/>
        </w:rPr>
        <w:t>O排放（好氧堆肥/厌氧消化）、饲料种植机械柴油消耗（耕地/收割）、饲料灌溉蓝水消耗（地表水/地下水取水量）、奶牛饮水消耗量、牧场清洁灰水排放（COD/BOD负荷）。</w:t>
      </w:r>
    </w:p>
    <w:p w14:paraId="0CEF7643">
      <w:pPr>
        <w:pStyle w:val="178"/>
      </w:pPr>
      <w:r>
        <w:t>原奶处理</w:t>
      </w:r>
      <w:r>
        <w:rPr>
          <w:rFonts w:hint="eastAsia"/>
        </w:rPr>
        <w:t>：</w:t>
      </w:r>
      <w:r>
        <w:t>过滤除杂、预冷贮藏、恒温运输</w:t>
      </w:r>
      <w:r>
        <w:rPr>
          <w:rFonts w:hint="eastAsia"/>
        </w:rPr>
        <w:t>。</w:t>
      </w:r>
    </w:p>
    <w:p w14:paraId="5998A242">
      <w:pPr>
        <w:pStyle w:val="102"/>
        <w:spacing w:before="120" w:after="120"/>
      </w:pPr>
      <w:r>
        <w:t>辅助材料供应系统</w:t>
      </w:r>
    </w:p>
    <w:p w14:paraId="4F95A77A">
      <w:pPr>
        <w:pStyle w:val="178"/>
        <w:numPr>
          <w:ilvl w:val="0"/>
          <w:numId w:val="38"/>
        </w:numPr>
      </w:pPr>
      <w:r>
        <w:rPr>
          <w:rFonts w:hint="eastAsia"/>
        </w:rPr>
        <w:t>包装材料：包装材料运输、包装材料生产废水（重金属残留量）。</w:t>
      </w:r>
    </w:p>
    <w:p w14:paraId="3B46C392">
      <w:pPr>
        <w:pStyle w:val="178"/>
      </w:pPr>
      <w:r>
        <w:t>清洗剂配制</w:t>
      </w:r>
      <w:r>
        <w:rPr>
          <w:rFonts w:hint="eastAsia"/>
        </w:rPr>
        <w:t>：</w:t>
      </w:r>
      <w:r>
        <w:t>酸碱溶液稀释混合</w:t>
      </w:r>
      <w:r>
        <w:rPr>
          <w:rFonts w:hint="eastAsia"/>
        </w:rPr>
        <w:t>、清洗剂配制工艺水耗、。</w:t>
      </w:r>
    </w:p>
    <w:p w14:paraId="24C9801F">
      <w:pPr>
        <w:pStyle w:val="178"/>
      </w:pPr>
      <w:r>
        <w:t>制冷剂充装</w:t>
      </w:r>
      <w:r>
        <w:rPr>
          <w:rFonts w:hint="eastAsia"/>
        </w:rPr>
        <w:t>：</w:t>
      </w:r>
      <w:r>
        <w:t>冷媒定量罐装</w:t>
      </w:r>
      <w:r>
        <w:rPr>
          <w:rFonts w:hint="eastAsia"/>
        </w:rPr>
        <w:t>、制冷剂充装过程HFC泄漏（GWP值核算）。</w:t>
      </w:r>
    </w:p>
    <w:p w14:paraId="6144F50F">
      <w:pPr>
        <w:pStyle w:val="178"/>
      </w:pPr>
      <w:r>
        <w:rPr>
          <w:rFonts w:hint="eastAsia"/>
        </w:rPr>
        <w:t>产生废物处理过程。</w:t>
      </w:r>
    </w:p>
    <w:p w14:paraId="2D7A2B73">
      <w:pPr>
        <w:pStyle w:val="98"/>
        <w:spacing w:before="120" w:after="120"/>
        <w:ind w:left="168" w:hanging="168"/>
      </w:pPr>
      <w:r>
        <w:t>生产加工阶段</w:t>
      </w:r>
    </w:p>
    <w:p w14:paraId="42E19CF0">
      <w:pPr>
        <w:pStyle w:val="171"/>
        <w:rPr>
          <w:rFonts w:hint="eastAsia"/>
        </w:rPr>
      </w:pPr>
      <w:r>
        <w:t>原料预处理工段</w:t>
      </w:r>
      <w:r>
        <w:rPr>
          <w:rFonts w:hint="eastAsia"/>
        </w:rPr>
        <w:t>：</w:t>
      </w:r>
      <w:r>
        <w:t>生乳验收</w:t>
      </w:r>
      <w:r>
        <w:rPr>
          <w:rFonts w:hint="eastAsia"/>
        </w:rPr>
        <w:t>（</w:t>
      </w:r>
      <w:r>
        <w:t>感官检测、理化指标分析</w:t>
      </w:r>
      <w:r>
        <w:rPr>
          <w:rFonts w:hint="eastAsia"/>
        </w:rPr>
        <w:t>）、</w:t>
      </w:r>
      <w:r>
        <w:t>离心净乳</w:t>
      </w:r>
      <w:r>
        <w:rPr>
          <w:rFonts w:hint="eastAsia"/>
        </w:rPr>
        <w:t>（</w:t>
      </w:r>
      <w:r>
        <w:t>杂质分离、脱气处理</w:t>
      </w:r>
      <w:r>
        <w:rPr>
          <w:rFonts w:hint="eastAsia"/>
        </w:rPr>
        <w:t>）。</w:t>
      </w:r>
    </w:p>
    <w:p w14:paraId="644E8BEF">
      <w:pPr>
        <w:pStyle w:val="171"/>
        <w:rPr>
          <w:rFonts w:hint="eastAsia"/>
        </w:rPr>
      </w:pPr>
      <w:r>
        <w:t>标准化处理工段</w:t>
      </w:r>
      <w:r>
        <w:rPr>
          <w:rFonts w:hint="eastAsia"/>
        </w:rPr>
        <w:t>：</w:t>
      </w:r>
      <w:r>
        <w:t>脂肪调整</w:t>
      </w:r>
      <w:r>
        <w:rPr>
          <w:rFonts w:hint="eastAsia"/>
        </w:rPr>
        <w:t>（</w:t>
      </w:r>
      <w:r>
        <w:t>离心分离、脂肪定量回添</w:t>
      </w:r>
      <w:r>
        <w:rPr>
          <w:rFonts w:hint="eastAsia"/>
        </w:rPr>
        <w:t>）、</w:t>
      </w:r>
      <w:r>
        <w:t>成分强化</w:t>
      </w:r>
      <w:r>
        <w:rPr>
          <w:rFonts w:hint="eastAsia"/>
        </w:rPr>
        <w:t>（</w:t>
      </w:r>
      <w:r>
        <w:t>维生素/矿物质添加</w:t>
      </w:r>
      <w:r>
        <w:rPr>
          <w:rFonts w:hint="eastAsia"/>
        </w:rPr>
        <w:t>）。</w:t>
      </w:r>
    </w:p>
    <w:p w14:paraId="345B4D7B">
      <w:pPr>
        <w:pStyle w:val="171"/>
        <w:rPr>
          <w:rFonts w:hint="eastAsia"/>
        </w:rPr>
      </w:pPr>
      <w:r>
        <w:t>热处理工段</w:t>
      </w:r>
      <w:r>
        <w:rPr>
          <w:rFonts w:hint="eastAsia"/>
        </w:rPr>
        <w:t>：</w:t>
      </w:r>
      <w:r>
        <w:t>巴氏杀菌</w:t>
      </w:r>
      <w:r>
        <w:rPr>
          <w:rFonts w:hint="eastAsia"/>
        </w:rPr>
        <w:t>（</w:t>
      </w:r>
      <w:r>
        <w:t>板式换热控温</w:t>
      </w:r>
      <w:r>
        <w:rPr>
          <w:rFonts w:hint="eastAsia"/>
        </w:rPr>
        <w:t>）、</w:t>
      </w:r>
      <w:r>
        <w:t>UHT灭菌</w:t>
      </w:r>
      <w:r>
        <w:rPr>
          <w:rFonts w:hint="eastAsia"/>
        </w:rPr>
        <w:t>（</w:t>
      </w:r>
      <w:r>
        <w:t>管式超高温瞬时处理</w:t>
      </w:r>
      <w:r>
        <w:rPr>
          <w:rFonts w:hint="eastAsia"/>
        </w:rPr>
        <w:t>）、灭菌蒸汽锅炉天然气消耗（Scope 1直接排放）、热能回收系统、板式换热器冷却水循环量、蒸汽冷凝水回用率。</w:t>
      </w:r>
    </w:p>
    <w:p w14:paraId="2DB8329D">
      <w:pPr>
        <w:pStyle w:val="171"/>
        <w:rPr>
          <w:rFonts w:hint="eastAsia"/>
        </w:rPr>
      </w:pPr>
      <w:r>
        <w:t>灌装包装工段</w:t>
      </w:r>
      <w:r>
        <w:rPr>
          <w:rFonts w:hint="eastAsia"/>
        </w:rPr>
        <w:t>：</w:t>
      </w:r>
      <w:r>
        <w:t>无菌灌装</w:t>
      </w:r>
      <w:r>
        <w:rPr>
          <w:rFonts w:hint="eastAsia"/>
        </w:rPr>
        <w:t>（</w:t>
      </w:r>
      <w:r>
        <w:t>包装材料灭菌、充填密封</w:t>
      </w:r>
      <w:r>
        <w:rPr>
          <w:rFonts w:hint="eastAsia"/>
        </w:rPr>
        <w:t>）、</w:t>
      </w:r>
      <w:r>
        <w:t>外箱成型</w:t>
      </w:r>
      <w:r>
        <w:rPr>
          <w:rFonts w:hint="eastAsia"/>
        </w:rPr>
        <w:t>（</w:t>
      </w:r>
      <w:r>
        <w:t>自动折箱、喷码贴标</w:t>
      </w:r>
      <w:r>
        <w:rPr>
          <w:rFonts w:hint="eastAsia"/>
        </w:rPr>
        <w:t>）。</w:t>
      </w:r>
    </w:p>
    <w:p w14:paraId="0E7A7D17">
      <w:pPr>
        <w:pStyle w:val="171"/>
        <w:rPr>
          <w:rFonts w:hint="eastAsia"/>
        </w:rPr>
      </w:pPr>
      <w:r>
        <w:t>辅助支持系统</w:t>
      </w:r>
      <w:r>
        <w:rPr>
          <w:rFonts w:hint="eastAsia"/>
        </w:rPr>
        <w:t>：</w:t>
      </w:r>
      <w:r>
        <w:t>CIP清洗</w:t>
      </w:r>
      <w:r>
        <w:rPr>
          <w:rFonts w:hint="eastAsia"/>
        </w:rPr>
        <w:t>（包括碱洗、酸洗、水洗等清洗流程）、水回用比例（碱洗-酸洗-终淋分级利用）、系统碱液生产隐含碳、</w:t>
      </w:r>
      <w:r>
        <w:t>废水处理</w:t>
      </w:r>
      <w:r>
        <w:rPr>
          <w:rFonts w:hint="eastAsia"/>
        </w:rPr>
        <w:t>（</w:t>
      </w:r>
      <w:r>
        <w:t>物理过滤、生化降解</w:t>
      </w:r>
      <w:r>
        <w:rPr>
          <w:rFonts w:hint="eastAsia"/>
        </w:rPr>
        <w:t>、沼气发电替代能耗、废水处理厂污泥脱水耗水量）。</w:t>
      </w:r>
    </w:p>
    <w:p w14:paraId="6716DADD">
      <w:pPr>
        <w:pStyle w:val="171"/>
        <w:rPr>
          <w:rFonts w:hint="eastAsia"/>
        </w:rPr>
      </w:pPr>
      <w:r>
        <w:t>厂区仓储管理</w:t>
      </w:r>
      <w:r>
        <w:rPr>
          <w:rFonts w:hint="eastAsia"/>
        </w:rPr>
        <w:t>：</w:t>
      </w:r>
      <w:r>
        <w:t>成品暂存</w:t>
      </w:r>
      <w:r>
        <w:rPr>
          <w:rFonts w:hint="eastAsia"/>
        </w:rPr>
        <w:t>（</w:t>
      </w:r>
      <w:r>
        <w:t>托盘码垛、库存轮转</w:t>
      </w:r>
      <w:r>
        <w:rPr>
          <w:rFonts w:hint="eastAsia"/>
        </w:rPr>
        <w:t>）、</w:t>
      </w:r>
      <w:r>
        <w:t>环境控制</w:t>
      </w:r>
      <w:r>
        <w:rPr>
          <w:rFonts w:hint="eastAsia"/>
        </w:rPr>
        <w:t>（</w:t>
      </w:r>
      <w:r>
        <w:t>冷藏库温湿度调控</w:t>
      </w:r>
      <w:r>
        <w:rPr>
          <w:rFonts w:hint="eastAsia"/>
        </w:rPr>
        <w:t>）。</w:t>
      </w:r>
    </w:p>
    <w:p w14:paraId="48A503AD">
      <w:pPr>
        <w:pStyle w:val="69"/>
        <w:spacing w:before="120" w:after="120"/>
        <w:ind w:left="0"/>
      </w:pPr>
      <w:r>
        <w:rPr>
          <w:rFonts w:hint="eastAsia"/>
        </w:rPr>
        <w:t>取舍准则</w:t>
      </w:r>
    </w:p>
    <w:p w14:paraId="6F41D081">
      <w:pPr>
        <w:pStyle w:val="60"/>
        <w:ind w:firstLine="420"/>
        <w:rPr>
          <w:highlight w:val="none"/>
        </w:rPr>
      </w:pPr>
      <w:r>
        <w:rPr>
          <w:rFonts w:hint="eastAsia"/>
          <w:highlight w:val="none"/>
        </w:rPr>
        <w:t>所涉及的单元过程、物质/能量数据的取舍应遵循如下准则：</w:t>
      </w:r>
    </w:p>
    <w:p w14:paraId="4AE8DCC0">
      <w:pPr>
        <w:pStyle w:val="60"/>
        <w:ind w:firstLine="420"/>
        <w:rPr>
          <w:highlight w:val="none"/>
        </w:rPr>
      </w:pPr>
      <w:r>
        <w:rPr>
          <w:rFonts w:hint="eastAsia"/>
          <w:highlight w:val="none"/>
        </w:rPr>
        <w:t>a)</w:t>
      </w:r>
      <w:r>
        <w:rPr>
          <w:rFonts w:hint="eastAsia"/>
          <w:highlight w:val="none"/>
        </w:rPr>
        <w:tab/>
      </w:r>
      <w:r>
        <w:rPr>
          <w:rFonts w:hint="eastAsia"/>
          <w:highlight w:val="none"/>
        </w:rPr>
        <w:t>所有的能源输入均需列出；</w:t>
      </w:r>
    </w:p>
    <w:p w14:paraId="62697D33">
      <w:pPr>
        <w:pStyle w:val="60"/>
        <w:ind w:firstLine="420"/>
        <w:rPr>
          <w:highlight w:val="none"/>
        </w:rPr>
      </w:pPr>
      <w:r>
        <w:rPr>
          <w:rFonts w:hint="eastAsia"/>
          <w:highlight w:val="none"/>
        </w:rPr>
        <w:t>b)</w:t>
      </w:r>
      <w:r>
        <w:rPr>
          <w:rFonts w:hint="eastAsia"/>
          <w:highlight w:val="none"/>
        </w:rPr>
        <w:tab/>
      </w:r>
      <w:r>
        <w:rPr>
          <w:rFonts w:hint="eastAsia"/>
          <w:highlight w:val="none"/>
        </w:rPr>
        <w:t>对产品碳足迹贡献小于1%的单元过程或物质可忽略，所有忽略的单元过程或物质对最终产品碳足迹贡献之和不得超过5%。如存在多项贡献小于1%的单元过程或物质且总和已超过5%，依照贡献度排序，优先忽略贡献度最小的单元过程或物质，达到5%的限额后其余项不可再忽略；</w:t>
      </w:r>
    </w:p>
    <w:p w14:paraId="03F50A5D">
      <w:pPr>
        <w:pStyle w:val="60"/>
        <w:ind w:firstLine="420"/>
        <w:rPr>
          <w:highlight w:val="none"/>
        </w:rPr>
      </w:pPr>
      <w:r>
        <w:rPr>
          <w:rFonts w:hint="eastAsia"/>
          <w:highlight w:val="none"/>
        </w:rPr>
        <w:t>c)</w:t>
      </w:r>
      <w:r>
        <w:rPr>
          <w:rFonts w:hint="eastAsia"/>
          <w:highlight w:val="none"/>
        </w:rPr>
        <w:tab/>
      </w:r>
      <w:r>
        <w:rPr>
          <w:rFonts w:hint="eastAsia"/>
          <w:highlight w:val="none"/>
        </w:rPr>
        <w:t>非生产性的道路与厂房等基础设施、各工序设备设施、厂区内人员及生活设施的消耗和排放，均可忽略；</w:t>
      </w:r>
    </w:p>
    <w:p w14:paraId="37A09C74">
      <w:pPr>
        <w:pStyle w:val="60"/>
        <w:ind w:firstLine="420"/>
        <w:rPr>
          <w:highlight w:val="none"/>
        </w:rPr>
      </w:pPr>
      <w:r>
        <w:rPr>
          <w:rFonts w:hint="eastAsia"/>
          <w:highlight w:val="none"/>
        </w:rPr>
        <w:t>d)</w:t>
      </w:r>
      <w:r>
        <w:rPr>
          <w:rFonts w:hint="eastAsia"/>
          <w:highlight w:val="none"/>
        </w:rPr>
        <w:tab/>
      </w:r>
      <w:r>
        <w:rPr>
          <w:rFonts w:hint="eastAsia"/>
          <w:highlight w:val="none"/>
        </w:rPr>
        <w:t>忽略的温室气体排放应在评价报告中明确说明，所选择的取舍准则对评价结果产生的影响应在评价报告中做出解释。</w:t>
      </w:r>
    </w:p>
    <w:p w14:paraId="7D8AEFAB">
      <w:pPr>
        <w:pStyle w:val="98"/>
        <w:spacing w:before="120" w:after="120"/>
        <w:ind w:left="168" w:hanging="168"/>
      </w:pPr>
      <w:r>
        <w:rPr>
          <w:rFonts w:hint="eastAsia"/>
        </w:rPr>
        <w:t>纳入原则</w:t>
      </w:r>
    </w:p>
    <w:p w14:paraId="56195B92">
      <w:pPr>
        <w:pStyle w:val="60"/>
        <w:ind w:firstLine="420"/>
      </w:pPr>
      <w:r>
        <w:rPr>
          <w:rFonts w:hint="eastAsia"/>
        </w:rPr>
        <w:t>对碳/水足迹贡献率≥1%或存在显著环境风险的环节必须包含，包括但不限于：饲料种植的化肥施用N</w:t>
      </w:r>
      <w:r>
        <w:rPr>
          <w:rFonts w:hint="eastAsia"/>
          <w:vertAlign w:val="subscript"/>
        </w:rPr>
        <w:t>2</w:t>
      </w:r>
      <w:r>
        <w:rPr>
          <w:rFonts w:hint="eastAsia"/>
        </w:rPr>
        <w:t>O排放、UHT灭菌的高压蒸汽耗能、寒区冷链运输的柴油补偿等。</w:t>
      </w:r>
    </w:p>
    <w:p w14:paraId="25DAD1F9">
      <w:pPr>
        <w:pStyle w:val="98"/>
        <w:spacing w:before="120" w:after="120"/>
        <w:ind w:left="168" w:hanging="168"/>
      </w:pPr>
      <w:r>
        <w:rPr>
          <w:rFonts w:hint="eastAsia"/>
        </w:rPr>
        <w:t>排除说明</w:t>
      </w:r>
    </w:p>
    <w:p w14:paraId="56B60071">
      <w:pPr>
        <w:pStyle w:val="60"/>
        <w:ind w:firstLine="420"/>
      </w:pPr>
      <w:r>
        <w:t>下列活动明确排除在系统边界之外：</w:t>
      </w:r>
    </w:p>
    <w:p w14:paraId="1F3BD7BA">
      <w:pPr>
        <w:pStyle w:val="178"/>
        <w:numPr>
          <w:ilvl w:val="0"/>
          <w:numId w:val="39"/>
        </w:numPr>
      </w:pPr>
      <w:r>
        <w:t>消费者使用阶段（含家庭冷藏、加热饮用及餐具清洗）不予纳入，因该环节能耗属民用领域且存在不可控变量；</w:t>
      </w:r>
    </w:p>
    <w:p w14:paraId="55CFCAE4">
      <w:pPr>
        <w:pStyle w:val="178"/>
      </w:pPr>
      <w:r>
        <w:t>生命周期末期阶段（含包装废弃物的回收、填埋及残留乳品处理）不予纳入，依据GB/T 24044生命周期终止边界定义要求，因废弃处理数据受地域回收政策差异影响，导致结果不可比</w:t>
      </w:r>
      <w:r>
        <w:rPr>
          <w:rFonts w:hint="eastAsia"/>
        </w:rPr>
        <w:t>。</w:t>
      </w:r>
    </w:p>
    <w:p w14:paraId="1FA7823E">
      <w:pPr>
        <w:pStyle w:val="108"/>
        <w:spacing w:before="240" w:after="240"/>
      </w:pPr>
      <w:r>
        <w:t>数据收集</w:t>
      </w:r>
    </w:p>
    <w:p w14:paraId="783C5033">
      <w:pPr>
        <w:pStyle w:val="109"/>
        <w:spacing w:before="120" w:after="120"/>
      </w:pPr>
      <w:r>
        <w:rPr>
          <w:rFonts w:hint="eastAsia"/>
        </w:rPr>
        <w:t>数据收集规则</w:t>
      </w:r>
    </w:p>
    <w:p w14:paraId="3CDD9FE6">
      <w:pPr>
        <w:pStyle w:val="60"/>
        <w:ind w:firstLine="420"/>
      </w:pPr>
      <w:r>
        <w:t>液态乳制品碳水双足迹评价过程中采集与使用的所有数据，应遵循以下</w:t>
      </w:r>
      <w:r>
        <w:rPr>
          <w:rFonts w:hint="eastAsia"/>
        </w:rPr>
        <w:t>要求：</w:t>
      </w:r>
    </w:p>
    <w:p w14:paraId="1D4C1FA3">
      <w:pPr>
        <w:pStyle w:val="169"/>
        <w:ind w:left="0"/>
      </w:pPr>
      <w:r>
        <w:t>完整性：数据集必须系统覆盖对产品碳水足迹有实质性贡献的</w:t>
      </w:r>
      <w:r>
        <w:rPr>
          <w:rFonts w:hint="eastAsia"/>
        </w:rPr>
        <w:t>过程单元，包括</w:t>
      </w:r>
      <w:r>
        <w:t>饲料种植、奶牛养殖、原奶处理、生产加工、包装储运至分销终点。包括所有显著的温室气体排放源、碳汇、水资源消耗点及废水污染负荷，确保无重大遗漏。</w:t>
      </w:r>
    </w:p>
    <w:p w14:paraId="0C6664F8">
      <w:pPr>
        <w:pStyle w:val="169"/>
        <w:ind w:left="0"/>
      </w:pPr>
      <w:r>
        <w:t>代表性：选用的数据应具备良好的时间、地理和技术代表性。时间代表性要求优先采用评价期内</w:t>
      </w:r>
      <w:r>
        <w:rPr>
          <w:rFonts w:hint="eastAsia"/>
        </w:rPr>
        <w:t>，</w:t>
      </w:r>
      <w:r>
        <w:t>通常为最近一个完整年度的连续数据；地理代表性要求数据来源优先取自内蒙古自治区内的实际生产体系，特别是反映黄灌区与牧区差异的区域特定参数；技术代表性要求数据准确反映当前主流生产工艺与技术装备水平。</w:t>
      </w:r>
    </w:p>
    <w:p w14:paraId="4F3C2CC6">
      <w:pPr>
        <w:pStyle w:val="169"/>
        <w:ind w:left="0"/>
      </w:pPr>
      <w:r>
        <w:t>准确性：数据应力求精确，最大限度地减少测量误差、计算偏差和不确定性。所有计量器具需按规定周期校准，确保溯源至国家基准。活动数据的测量误差应控制在±5%以内，排放因子及水耗系数的不确定性应尽可能降低。</w:t>
      </w:r>
    </w:p>
    <w:p w14:paraId="528E87FD">
      <w:pPr>
        <w:pStyle w:val="169"/>
        <w:ind w:left="0"/>
      </w:pPr>
      <w:r>
        <w:t>时效性：初级活动数据应优先采用评价目标年份</w:t>
      </w:r>
      <w:r>
        <w:rPr>
          <w:rFonts w:hint="eastAsia"/>
        </w:rPr>
        <w:t>，</w:t>
      </w:r>
      <w:r>
        <w:t>通常为最近一个完整自然年的平均值。若产品生产或特定工艺运行不足一年，则应采用从生产开始至数据收集日的累计平均数据。历史数据仅在其生产工艺、技术水平及环境条件未发生显著变化时方可使用，并需书面论证其适用性。</w:t>
      </w:r>
    </w:p>
    <w:p w14:paraId="4103C981">
      <w:pPr>
        <w:pStyle w:val="169"/>
        <w:ind w:left="0"/>
      </w:pPr>
      <w:r>
        <w:t>数据优先级：评价应遵循数据获取的优先序。初级数据（即企业通过直接测量、监测或基于测量的计算获得的特定数据）为最优选择。当无法获取可靠的初级数据时，允许使用次级数据（包括数据库中的背景数据、文献值、行业平均数据或专家判断值），但必须详细记录数据来源、选择理由及其不确定性说明，并在报告中明确标注。</w:t>
      </w:r>
    </w:p>
    <w:p w14:paraId="49563679">
      <w:pPr>
        <w:pStyle w:val="169"/>
        <w:ind w:left="0"/>
      </w:pPr>
      <w:r>
        <w:t>质量优选：在满足评价目标的前提下，应始终选择可获得的质量最高、不确定性最低的数据。这包括优先选择测量精度更高的数据源、经过第三方认证的数据库数据、以及基于大量样本统计得出的代表性参数，以最大限度减少评价结果的偏向性和总体不确定性。</w:t>
      </w:r>
    </w:p>
    <w:p w14:paraId="0B74AD48">
      <w:pPr>
        <w:pStyle w:val="169"/>
        <w:ind w:left="0"/>
      </w:pPr>
      <w:r>
        <w:t>不确定性控制：在参数选择、情景构建和模型应用时，应优先考虑不确定性较低的选项。评价过程中需识别并记录关键参数的不确定性来源，包括参数不确定性（如排放因子、活动数据的误差）、情景不确定性（如分配方法选择、系统边界划分）及模型不确定性（如计算公式的适用性），并对最终结果的不确定性进行分析与报告。</w:t>
      </w:r>
    </w:p>
    <w:p w14:paraId="16285729">
      <w:pPr>
        <w:pStyle w:val="109"/>
        <w:spacing w:before="120" w:after="120"/>
      </w:pPr>
      <w:r>
        <w:t>数据质量要求</w:t>
      </w:r>
    </w:p>
    <w:p w14:paraId="24A4759F">
      <w:pPr>
        <w:pStyle w:val="69"/>
        <w:spacing w:before="120" w:after="120"/>
        <w:ind w:left="0"/>
      </w:pPr>
      <w:r>
        <w:rPr>
          <w:rFonts w:hint="eastAsia"/>
        </w:rPr>
        <w:t>总体要求</w:t>
      </w:r>
    </w:p>
    <w:p w14:paraId="5441114E">
      <w:pPr>
        <w:pStyle w:val="60"/>
        <w:ind w:firstLine="420"/>
      </w:pPr>
      <w:r>
        <w:t>液态乳制品碳水足迹数据须满足完整性、地域代表性、精度控制及时效性要求。完整性要求覆盖系统边界内所有碳/水足迹贡献率≥1%的环节，缺失总量不得超过总影响的5%；地域代表性要求奶牛养殖数据采用内蒙古牧区实测值，黄灌区灌溉数据采用内蒙古水利厅监测值；精度控制要求所有计量器具误差率≤5%（电表、流量计等需符合JJG 1033校准规范）；时效性要求采用评价期前连续12个月的生产数据，新建产线可采用试运行期完整数据。</w:t>
      </w:r>
    </w:p>
    <w:p w14:paraId="5F41AE2F">
      <w:pPr>
        <w:pStyle w:val="69"/>
        <w:spacing w:before="120" w:after="120"/>
        <w:ind w:left="0"/>
      </w:pPr>
      <w:r>
        <w:t>分阶段数据收集要求</w:t>
      </w:r>
    </w:p>
    <w:p w14:paraId="75C41A89">
      <w:pPr>
        <w:pStyle w:val="168"/>
      </w:pPr>
      <w:r>
        <w:t>当单元过程涉及多源数据时，按以下规则抽样：生乳来自多个牧场的，应收集供应量占总量50%以上的牧场数据，按供应量加权平均作为代表值</w:t>
      </w:r>
      <w:r>
        <w:rPr>
          <w:rFonts w:hint="eastAsia"/>
        </w:rPr>
        <w:t>。</w:t>
      </w:r>
    </w:p>
    <w:p w14:paraId="7F3AF553">
      <w:pPr>
        <w:pStyle w:val="168"/>
      </w:pPr>
      <w:r>
        <w:t>包装材料由多个供应商提供的，应采集所有供应商的运输距离及能源消耗原始记录</w:t>
      </w:r>
      <w:r>
        <w:rPr>
          <w:rFonts w:hint="eastAsia"/>
        </w:rPr>
        <w:t>；</w:t>
      </w:r>
      <w:r>
        <w:t>产品存在多条运输路线的，应覆盖销量占比50%以上的主要干线冷链运输数据。</w:t>
      </w:r>
    </w:p>
    <w:p w14:paraId="13E25F3A">
      <w:pPr>
        <w:pStyle w:val="168"/>
      </w:pPr>
      <w:r>
        <w:t>若完整数据获取困难，可采用区域行业统计平均值替代，并书面说明数据来源及适用性分析。季节性波动数据（如寒区冬季粪污管理）应按典型季节采样3次以上并加权计算。</w:t>
      </w:r>
    </w:p>
    <w:p w14:paraId="6E6BE11A">
      <w:pPr>
        <w:pStyle w:val="168"/>
      </w:pPr>
      <w:r>
        <w:rPr>
          <w:rFonts w:hint="eastAsia"/>
        </w:rPr>
        <w:t>现场调研数据收集相关表格见附录 A。</w:t>
      </w:r>
    </w:p>
    <w:p w14:paraId="3BA782A7">
      <w:pPr>
        <w:pStyle w:val="109"/>
        <w:spacing w:before="120" w:after="120"/>
      </w:pPr>
      <w:r>
        <w:rPr>
          <w:rFonts w:hint="eastAsia"/>
        </w:rPr>
        <w:t>数据库选用原则</w:t>
      </w:r>
    </w:p>
    <w:p w14:paraId="244C2333">
      <w:pPr>
        <w:pStyle w:val="169"/>
        <w:ind w:left="0"/>
        <w:rPr>
          <w:rFonts w:hint="eastAsia" w:ascii="黑体" w:hAnsi="黑体" w:eastAsia="黑体" w:cs="黑体"/>
        </w:rPr>
      </w:pPr>
      <w:r>
        <w:t>数据库的选择应当遵循以下原则：</w:t>
      </w:r>
    </w:p>
    <w:p w14:paraId="17EF2FE6">
      <w:pPr>
        <w:pStyle w:val="178"/>
        <w:numPr>
          <w:ilvl w:val="0"/>
          <w:numId w:val="40"/>
        </w:numPr>
      </w:pPr>
      <w:r>
        <w:t>完整性：数据库应涵盖IPCC规定的各类温室气体排放因子及水足迹核算所需的关键参数；数据库所提供的数据应具有完整的生命周期核算范围，包含从原料获取、生产加工到包装储运的全过程；</w:t>
      </w:r>
    </w:p>
    <w:p w14:paraId="4E0D5243">
      <w:pPr>
        <w:pStyle w:val="178"/>
      </w:pPr>
      <w:r>
        <w:t>透明性：数据库应有公开的数据库指南，明确说明数据库开发的方法学体系。此外，数据库的每个数据集应配备完整的文档，包括数据来源、模型完整性、数据代表性及同行评审意见。</w:t>
      </w:r>
    </w:p>
    <w:p w14:paraId="7019A7A8">
      <w:pPr>
        <w:pStyle w:val="169"/>
        <w:ind w:left="0"/>
        <w:rPr>
          <w:rFonts w:hint="eastAsia" w:ascii="黑体" w:hAnsi="黑体" w:eastAsia="黑体" w:cs="黑体"/>
        </w:rPr>
      </w:pPr>
      <w:r>
        <w:t>产品碳水足迹核算过程中的数据库选用，应遵循以下优先级：</w:t>
      </w:r>
    </w:p>
    <w:p w14:paraId="2341D7A3">
      <w:pPr>
        <w:pStyle w:val="178"/>
        <w:numPr>
          <w:ilvl w:val="0"/>
          <w:numId w:val="41"/>
        </w:numPr>
      </w:pPr>
      <w:r>
        <w:t>第一优先级为内蒙古自治区地方数据库</w:t>
      </w:r>
      <w:r>
        <w:rPr>
          <w:rFonts w:hint="eastAsia"/>
        </w:rPr>
        <w:t>（内蒙古地域排放因子库见表1，</w:t>
      </w:r>
      <w:bookmarkStart w:id="44" w:name="_Hlk208258774"/>
      <w:r>
        <w:rPr>
          <w:rFonts w:hint="eastAsia"/>
        </w:rPr>
        <w:t>灰水污染物限值与区域修正</w:t>
      </w:r>
      <w:bookmarkEnd w:id="44"/>
      <w:r>
        <w:rPr>
          <w:rFonts w:hint="eastAsia"/>
        </w:rPr>
        <w:t>见表2）</w:t>
      </w:r>
      <w:r>
        <w:t>；</w:t>
      </w:r>
    </w:p>
    <w:p w14:paraId="2FFA4894">
      <w:pPr>
        <w:pStyle w:val="178"/>
      </w:pPr>
      <w:r>
        <w:t>其次为中国国家级数据库；</w:t>
      </w:r>
    </w:p>
    <w:p w14:paraId="2FBF30BB">
      <w:pPr>
        <w:pStyle w:val="178"/>
      </w:pPr>
      <w:r>
        <w:t>再次为国际数据库（应优先选择包含中国数据在内的区域平均数据或全球平均数据）。</w:t>
      </w:r>
    </w:p>
    <w:p w14:paraId="54BD3D0A">
      <w:pPr>
        <w:pStyle w:val="116"/>
        <w:spacing w:before="120" w:after="120"/>
      </w:pPr>
      <w:r>
        <w:rPr>
          <w:rFonts w:hint="eastAsia"/>
        </w:rPr>
        <w:t>内蒙古地域排放因子库</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4E075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tcBorders>
              <w:top w:val="single" w:color="auto" w:sz="8" w:space="0"/>
              <w:bottom w:val="single" w:color="auto" w:sz="8" w:space="0"/>
            </w:tcBorders>
            <w:vAlign w:val="center"/>
          </w:tcPr>
          <w:p w14:paraId="7ADB90EE">
            <w:pPr>
              <w:pStyle w:val="182"/>
            </w:pPr>
            <w:r>
              <w:rPr>
                <w:rFonts w:hAnsi="宋体" w:cs="Segoe UI"/>
                <w:color w:val="000000"/>
                <w:szCs w:val="18"/>
                <w:lang w:bidi="ar"/>
              </w:rPr>
              <w:t>排放源</w:t>
            </w:r>
          </w:p>
        </w:tc>
        <w:tc>
          <w:tcPr>
            <w:tcW w:w="1867" w:type="dxa"/>
            <w:tcBorders>
              <w:top w:val="single" w:color="auto" w:sz="8" w:space="0"/>
              <w:bottom w:val="single" w:color="auto" w:sz="8" w:space="0"/>
            </w:tcBorders>
            <w:vAlign w:val="center"/>
          </w:tcPr>
          <w:p w14:paraId="5453F4AB">
            <w:pPr>
              <w:pStyle w:val="182"/>
            </w:pPr>
            <w:r>
              <w:rPr>
                <w:rFonts w:hAnsi="宋体" w:cs="Segoe UI"/>
                <w:color w:val="000000"/>
                <w:szCs w:val="18"/>
                <w:lang w:bidi="ar"/>
              </w:rPr>
              <w:t>参数</w:t>
            </w:r>
            <w:r>
              <w:rPr>
                <w:rFonts w:ascii="Times New Roman"/>
                <w:color w:val="000000"/>
                <w:szCs w:val="18"/>
                <w:lang w:bidi="ar"/>
              </w:rPr>
              <w:t>​</w:t>
            </w:r>
          </w:p>
        </w:tc>
        <w:tc>
          <w:tcPr>
            <w:tcW w:w="1867" w:type="dxa"/>
            <w:tcBorders>
              <w:top w:val="single" w:color="auto" w:sz="8" w:space="0"/>
              <w:bottom w:val="single" w:color="auto" w:sz="8" w:space="0"/>
            </w:tcBorders>
            <w:vAlign w:val="center"/>
          </w:tcPr>
          <w:p w14:paraId="33DE27DA">
            <w:pPr>
              <w:pStyle w:val="182"/>
            </w:pPr>
            <w:r>
              <w:rPr>
                <w:rFonts w:hAnsi="宋体" w:cs="Segoe UI"/>
                <w:color w:val="000000"/>
                <w:szCs w:val="18"/>
                <w:lang w:bidi="ar"/>
              </w:rPr>
              <w:t>标准值</w:t>
            </w:r>
          </w:p>
        </w:tc>
        <w:tc>
          <w:tcPr>
            <w:tcW w:w="1867" w:type="dxa"/>
            <w:tcBorders>
              <w:top w:val="single" w:color="auto" w:sz="8" w:space="0"/>
              <w:bottom w:val="single" w:color="auto" w:sz="8" w:space="0"/>
            </w:tcBorders>
            <w:vAlign w:val="center"/>
          </w:tcPr>
          <w:p w14:paraId="6CABA6F7">
            <w:pPr>
              <w:pStyle w:val="182"/>
            </w:pPr>
            <w:r>
              <w:rPr>
                <w:rFonts w:hAnsi="宋体" w:cs="Segoe UI"/>
                <w:color w:val="000000"/>
                <w:szCs w:val="18"/>
                <w:lang w:bidi="ar"/>
              </w:rPr>
              <w:t>适用条件</w:t>
            </w:r>
          </w:p>
        </w:tc>
        <w:tc>
          <w:tcPr>
            <w:tcW w:w="1867" w:type="dxa"/>
            <w:tcBorders>
              <w:top w:val="single" w:color="auto" w:sz="8" w:space="0"/>
              <w:bottom w:val="single" w:color="auto" w:sz="8" w:space="0"/>
            </w:tcBorders>
            <w:vAlign w:val="center"/>
          </w:tcPr>
          <w:p w14:paraId="10314A98">
            <w:pPr>
              <w:pStyle w:val="182"/>
            </w:pPr>
            <w:r>
              <w:rPr>
                <w:rFonts w:hAnsi="宋体" w:cs="Segoe UI"/>
                <w:color w:val="000000"/>
                <w:szCs w:val="18"/>
                <w:lang w:bidi="ar"/>
              </w:rPr>
              <w:t>效力</w:t>
            </w:r>
          </w:p>
        </w:tc>
      </w:tr>
      <w:tr w14:paraId="63D93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vAlign w:val="center"/>
          </w:tcPr>
          <w:p w14:paraId="0B6AAB1E">
            <w:pPr>
              <w:pStyle w:val="182"/>
            </w:pPr>
            <w:r>
              <w:rPr>
                <w:rFonts w:hAnsi="宋体" w:cs="Segoe UI"/>
                <w:color w:val="000000"/>
                <w:szCs w:val="18"/>
                <w:lang w:bidi="ar"/>
              </w:rPr>
              <w:t>奶牛肠道发酵</w:t>
            </w:r>
          </w:p>
        </w:tc>
        <w:tc>
          <w:tcPr>
            <w:tcW w:w="1867" w:type="dxa"/>
            <w:tcBorders>
              <w:top w:val="single" w:color="auto" w:sz="8" w:space="0"/>
            </w:tcBorders>
            <w:vAlign w:val="center"/>
          </w:tcPr>
          <w:p w14:paraId="1633434A">
            <w:pPr>
              <w:pStyle w:val="182"/>
            </w:pPr>
            <w:r>
              <w:rPr>
                <w:rFonts w:hAnsi="宋体" w:cs="Segoe UI"/>
                <w:color w:val="000000"/>
                <w:szCs w:val="18"/>
                <w:lang w:bidi="ar"/>
              </w:rPr>
              <w:t>甲烷转化率(</w:t>
            </w:r>
            <w:r>
              <w:rPr>
                <w:rFonts w:hAnsi="宋体" w:cs="KaTeX_Math"/>
                <w:i/>
                <w:iCs/>
                <w:color w:val="000000"/>
                <w:szCs w:val="18"/>
                <w:lang w:bidi="ar"/>
              </w:rPr>
              <w:t>Ym</w:t>
            </w:r>
            <w:r>
              <w:rPr>
                <w:rStyle w:val="234"/>
                <w:sz w:val="18"/>
                <w:szCs w:val="18"/>
                <w:lang w:bidi="ar"/>
              </w:rPr>
              <w:t>​</w:t>
            </w:r>
            <w:r>
              <w:rPr>
                <w:rFonts w:hAnsi="宋体" w:cs="Segoe UI"/>
                <w:color w:val="000000"/>
                <w:szCs w:val="18"/>
                <w:lang w:bidi="ar"/>
              </w:rPr>
              <w:t>)</w:t>
            </w:r>
          </w:p>
        </w:tc>
        <w:tc>
          <w:tcPr>
            <w:tcW w:w="1867" w:type="dxa"/>
            <w:tcBorders>
              <w:top w:val="single" w:color="auto" w:sz="8" w:space="0"/>
            </w:tcBorders>
            <w:vAlign w:val="center"/>
          </w:tcPr>
          <w:p w14:paraId="47A939DC">
            <w:pPr>
              <w:pStyle w:val="182"/>
            </w:pPr>
            <w:r>
              <w:rPr>
                <w:rFonts w:hAnsi="宋体" w:cs="Segoe UI"/>
                <w:color w:val="000000"/>
                <w:szCs w:val="18"/>
                <w:lang w:bidi="ar"/>
              </w:rPr>
              <w:t>6.50%</w:t>
            </w:r>
          </w:p>
        </w:tc>
        <w:tc>
          <w:tcPr>
            <w:tcW w:w="1867" w:type="dxa"/>
            <w:tcBorders>
              <w:top w:val="single" w:color="auto" w:sz="8" w:space="0"/>
            </w:tcBorders>
            <w:vAlign w:val="center"/>
          </w:tcPr>
          <w:p w14:paraId="421D8DCE">
            <w:pPr>
              <w:pStyle w:val="182"/>
            </w:pPr>
            <w:r>
              <w:rPr>
                <w:rFonts w:hAnsi="宋体" w:cs="Segoe UI"/>
                <w:color w:val="000000"/>
                <w:szCs w:val="18"/>
                <w:lang w:bidi="ar"/>
              </w:rPr>
              <w:t>内蒙古泌乳牛</w:t>
            </w:r>
          </w:p>
        </w:tc>
        <w:tc>
          <w:tcPr>
            <w:tcW w:w="1867" w:type="dxa"/>
            <w:tcBorders>
              <w:top w:val="single" w:color="auto" w:sz="8" w:space="0"/>
            </w:tcBorders>
            <w:vAlign w:val="center"/>
          </w:tcPr>
          <w:p w14:paraId="02D5EC5C">
            <w:pPr>
              <w:pStyle w:val="182"/>
            </w:pPr>
            <w:r>
              <w:rPr>
                <w:rFonts w:hAnsi="宋体" w:cs="Segoe UI"/>
                <w:color w:val="000000"/>
                <w:szCs w:val="18"/>
                <w:lang w:bidi="ar"/>
              </w:rPr>
              <w:t>强制采用</w:t>
            </w:r>
          </w:p>
        </w:tc>
      </w:tr>
      <w:tr w14:paraId="3663F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1EC7A879">
            <w:pPr>
              <w:pStyle w:val="182"/>
            </w:pPr>
            <w:r>
              <w:rPr>
                <w:rFonts w:hAnsi="宋体" w:cs="Segoe UI"/>
                <w:color w:val="000000"/>
                <w:szCs w:val="18"/>
                <w:lang w:bidi="ar"/>
              </w:rPr>
              <w:t>电网电力</w:t>
            </w:r>
          </w:p>
        </w:tc>
        <w:tc>
          <w:tcPr>
            <w:tcW w:w="1867" w:type="dxa"/>
            <w:vAlign w:val="center"/>
          </w:tcPr>
          <w:p w14:paraId="6C96F495">
            <w:pPr>
              <w:pStyle w:val="182"/>
            </w:pPr>
            <w:r>
              <w:rPr>
                <w:rFonts w:hAnsi="宋体" w:cs="Segoe UI"/>
                <w:color w:val="000000"/>
                <w:szCs w:val="18"/>
                <w:lang w:bidi="ar"/>
              </w:rPr>
              <w:t>蒙西电网排放因子</w:t>
            </w:r>
          </w:p>
        </w:tc>
        <w:tc>
          <w:tcPr>
            <w:tcW w:w="1867" w:type="dxa"/>
            <w:vAlign w:val="center"/>
          </w:tcPr>
          <w:p w14:paraId="7631F508">
            <w:pPr>
              <w:pStyle w:val="182"/>
            </w:pPr>
            <w:r>
              <w:rPr>
                <w:rFonts w:hAnsi="宋体" w:cs="Segoe UI"/>
                <w:color w:val="000000"/>
                <w:szCs w:val="18"/>
                <w:lang w:bidi="ar"/>
              </w:rPr>
              <w:t>0.581 kgCO</w:t>
            </w:r>
            <w:r>
              <w:rPr>
                <w:rFonts w:ascii="Cambria Math" w:hAnsi="Cambria Math" w:cs="Cambria Math"/>
                <w:color w:val="000000"/>
                <w:szCs w:val="18"/>
                <w:lang w:bidi="ar"/>
              </w:rPr>
              <w:t>₂</w:t>
            </w:r>
            <w:r>
              <w:rPr>
                <w:rFonts w:hAnsi="宋体" w:cs="Segoe UI"/>
                <w:color w:val="000000"/>
                <w:szCs w:val="18"/>
                <w:lang w:bidi="ar"/>
              </w:rPr>
              <w:t>e/kWh</w:t>
            </w:r>
          </w:p>
        </w:tc>
        <w:tc>
          <w:tcPr>
            <w:tcW w:w="1867" w:type="dxa"/>
            <w:vAlign w:val="center"/>
          </w:tcPr>
          <w:p w14:paraId="75922C50">
            <w:pPr>
              <w:pStyle w:val="182"/>
            </w:pPr>
            <w:r>
              <w:rPr>
                <w:rFonts w:hAnsi="宋体" w:cs="Segoe UI"/>
                <w:color w:val="000000"/>
                <w:szCs w:val="18"/>
                <w:lang w:bidi="ar"/>
              </w:rPr>
              <w:t>220kV及以上输配电路</w:t>
            </w:r>
          </w:p>
        </w:tc>
        <w:tc>
          <w:tcPr>
            <w:tcW w:w="1867" w:type="dxa"/>
            <w:vAlign w:val="center"/>
          </w:tcPr>
          <w:p w14:paraId="03BAF55F">
            <w:pPr>
              <w:pStyle w:val="182"/>
            </w:pPr>
            <w:r>
              <w:rPr>
                <w:rFonts w:hAnsi="宋体" w:cs="Segoe UI"/>
                <w:color w:val="000000"/>
                <w:szCs w:val="18"/>
                <w:lang w:bidi="ar"/>
              </w:rPr>
              <w:t>强制采用</w:t>
            </w:r>
          </w:p>
        </w:tc>
      </w:tr>
      <w:tr w14:paraId="1D183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351AD4D2">
            <w:pPr>
              <w:pStyle w:val="182"/>
            </w:pPr>
            <w:r>
              <w:rPr>
                <w:rFonts w:hAnsi="宋体" w:cs="Segoe UI"/>
                <w:color w:val="000000"/>
                <w:szCs w:val="18"/>
                <w:lang w:bidi="ar"/>
              </w:rPr>
              <w:t>柴油运输</w:t>
            </w:r>
          </w:p>
        </w:tc>
        <w:tc>
          <w:tcPr>
            <w:tcW w:w="1867" w:type="dxa"/>
            <w:vAlign w:val="center"/>
          </w:tcPr>
          <w:p w14:paraId="61635946">
            <w:pPr>
              <w:pStyle w:val="182"/>
            </w:pPr>
            <w:r>
              <w:rPr>
                <w:rFonts w:hAnsi="宋体" w:cs="Segoe UI"/>
                <w:color w:val="000000"/>
                <w:szCs w:val="18"/>
                <w:lang w:bidi="ar"/>
              </w:rPr>
              <w:t>寒区补偿系数</w:t>
            </w:r>
          </w:p>
        </w:tc>
        <w:tc>
          <w:tcPr>
            <w:tcW w:w="1867" w:type="dxa"/>
            <w:vAlign w:val="center"/>
          </w:tcPr>
          <w:p w14:paraId="3B64BC3B">
            <w:pPr>
              <w:pStyle w:val="182"/>
            </w:pPr>
            <w:r>
              <w:rPr>
                <w:rFonts w:hAnsi="宋体" w:cs="Segoe UI"/>
                <w:color w:val="000000"/>
                <w:szCs w:val="18"/>
                <w:lang w:bidi="ar"/>
              </w:rPr>
              <w:t>1.3</w:t>
            </w:r>
          </w:p>
        </w:tc>
        <w:tc>
          <w:tcPr>
            <w:tcW w:w="1867" w:type="dxa"/>
            <w:vAlign w:val="center"/>
          </w:tcPr>
          <w:p w14:paraId="2295E932">
            <w:pPr>
              <w:pStyle w:val="182"/>
            </w:pPr>
            <w:r>
              <w:rPr>
                <w:rFonts w:hAnsi="宋体" w:cs="Segoe UI"/>
                <w:color w:val="000000"/>
                <w:szCs w:val="18"/>
                <w:lang w:bidi="ar"/>
              </w:rPr>
              <w:t>环境温度≤-20℃</w:t>
            </w:r>
          </w:p>
        </w:tc>
        <w:tc>
          <w:tcPr>
            <w:tcW w:w="1867" w:type="dxa"/>
            <w:vAlign w:val="center"/>
          </w:tcPr>
          <w:p w14:paraId="6C1FDAC2">
            <w:pPr>
              <w:pStyle w:val="182"/>
            </w:pPr>
            <w:r>
              <w:rPr>
                <w:rFonts w:hAnsi="宋体" w:cs="Segoe UI"/>
                <w:color w:val="000000"/>
                <w:szCs w:val="18"/>
                <w:lang w:bidi="ar"/>
              </w:rPr>
              <w:t>强制采用</w:t>
            </w:r>
          </w:p>
        </w:tc>
      </w:tr>
      <w:tr w14:paraId="0A8DC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45C7E7B3">
            <w:pPr>
              <w:pStyle w:val="182"/>
            </w:pPr>
            <w:r>
              <w:rPr>
                <w:rFonts w:hAnsi="宋体" w:cs="Segoe UI"/>
                <w:color w:val="000000"/>
                <w:szCs w:val="18"/>
                <w:lang w:bidi="ar"/>
              </w:rPr>
              <w:t>轮胎微塑料</w:t>
            </w:r>
          </w:p>
        </w:tc>
        <w:tc>
          <w:tcPr>
            <w:tcW w:w="1867" w:type="dxa"/>
            <w:vAlign w:val="center"/>
          </w:tcPr>
          <w:p w14:paraId="2110A7D4">
            <w:pPr>
              <w:pStyle w:val="182"/>
            </w:pPr>
            <w:r>
              <w:rPr>
                <w:rFonts w:hAnsi="宋体" w:cs="Segoe UI"/>
                <w:color w:val="000000"/>
                <w:szCs w:val="18"/>
                <w:lang w:bidi="ar"/>
              </w:rPr>
              <w:t>Zn释放系数</w:t>
            </w:r>
          </w:p>
        </w:tc>
        <w:tc>
          <w:tcPr>
            <w:tcW w:w="1867" w:type="dxa"/>
            <w:vAlign w:val="center"/>
          </w:tcPr>
          <w:p w14:paraId="170335C7">
            <w:pPr>
              <w:pStyle w:val="182"/>
            </w:pPr>
            <w:r>
              <w:rPr>
                <w:rFonts w:hAnsi="宋体" w:cs="Segoe UI"/>
                <w:color w:val="000000"/>
                <w:szCs w:val="18"/>
                <w:lang w:bidi="ar"/>
              </w:rPr>
              <w:t>0.003 gZn/g磨损</w:t>
            </w:r>
          </w:p>
        </w:tc>
        <w:tc>
          <w:tcPr>
            <w:tcW w:w="1867" w:type="dxa"/>
            <w:vAlign w:val="center"/>
          </w:tcPr>
          <w:p w14:paraId="7132CAE3">
            <w:pPr>
              <w:pStyle w:val="182"/>
            </w:pPr>
            <w:r>
              <w:rPr>
                <w:rFonts w:hAnsi="宋体" w:cs="Segoe UI"/>
                <w:color w:val="000000"/>
                <w:szCs w:val="18"/>
                <w:lang w:bidi="ar"/>
              </w:rPr>
              <w:t>胎面Zn含量≥1.2%</w:t>
            </w:r>
          </w:p>
        </w:tc>
        <w:tc>
          <w:tcPr>
            <w:tcW w:w="1867" w:type="dxa"/>
            <w:vAlign w:val="center"/>
          </w:tcPr>
          <w:p w14:paraId="449E5E20">
            <w:pPr>
              <w:pStyle w:val="182"/>
            </w:pPr>
            <w:r>
              <w:rPr>
                <w:rFonts w:hAnsi="宋体" w:cs="Segoe UI"/>
                <w:color w:val="000000"/>
                <w:szCs w:val="18"/>
                <w:lang w:bidi="ar"/>
              </w:rPr>
              <w:t>推荐采用</w:t>
            </w:r>
          </w:p>
        </w:tc>
      </w:tr>
    </w:tbl>
    <w:p w14:paraId="7D3C2078">
      <w:pPr>
        <w:pStyle w:val="60"/>
        <w:ind w:firstLine="420"/>
      </w:pPr>
    </w:p>
    <w:p w14:paraId="06B687B8">
      <w:pPr>
        <w:pStyle w:val="116"/>
        <w:spacing w:before="120" w:after="120"/>
      </w:pPr>
      <w:r>
        <w:rPr>
          <w:rFonts w:hint="eastAsia"/>
        </w:rPr>
        <w:t>灰水污染物限值与区域修正</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927"/>
        <w:gridCol w:w="3975"/>
        <w:gridCol w:w="1517"/>
        <w:gridCol w:w="1114"/>
      </w:tblGrid>
      <w:tr w14:paraId="21E71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49" w:type="pct"/>
            <w:tcBorders>
              <w:top w:val="single" w:color="auto" w:sz="8" w:space="0"/>
              <w:bottom w:val="single" w:color="auto" w:sz="8" w:space="0"/>
            </w:tcBorders>
            <w:vAlign w:val="center"/>
          </w:tcPr>
          <w:p w14:paraId="23815584">
            <w:pPr>
              <w:pStyle w:val="182"/>
            </w:pPr>
            <w:r>
              <w:rPr>
                <w:rFonts w:hAnsi="宋体" w:cs="Segoe UI"/>
                <w:color w:val="000000"/>
                <w:szCs w:val="18"/>
                <w:lang w:bidi="ar"/>
              </w:rPr>
              <w:t>污染物</w:t>
            </w:r>
          </w:p>
        </w:tc>
        <w:tc>
          <w:tcPr>
            <w:tcW w:w="1028" w:type="pct"/>
            <w:tcBorders>
              <w:top w:val="single" w:color="auto" w:sz="8" w:space="0"/>
              <w:bottom w:val="single" w:color="auto" w:sz="8" w:space="0"/>
            </w:tcBorders>
            <w:vAlign w:val="center"/>
          </w:tcPr>
          <w:p w14:paraId="33BA8138">
            <w:pPr>
              <w:pStyle w:val="182"/>
            </w:pPr>
            <w:r>
              <w:rPr>
                <w:rFonts w:hAnsi="宋体" w:cs="Segoe UI"/>
                <w:color w:val="000000"/>
                <w:szCs w:val="18"/>
                <w:lang w:bidi="ar"/>
              </w:rPr>
              <w:t>环境限值(</w:t>
            </w:r>
            <w:r>
              <w:rPr>
                <w:rFonts w:hAnsi="宋体" w:cs="KaTeX_Math"/>
                <w:i/>
                <w:iCs/>
                <w:color w:val="000000"/>
                <w:szCs w:val="18"/>
                <w:lang w:bidi="ar"/>
              </w:rPr>
              <w:t>C</w:t>
            </w:r>
            <w:r>
              <w:rPr>
                <w:rFonts w:hAnsi="宋体"/>
                <w:color w:val="000000"/>
                <w:szCs w:val="18"/>
                <w:lang w:bidi="ar"/>
              </w:rPr>
              <w:t>max</w:t>
            </w:r>
            <w:r>
              <w:rPr>
                <w:rFonts w:ascii="Times New Roman"/>
                <w:color w:val="000000"/>
                <w:szCs w:val="18"/>
                <w:lang w:bidi="ar"/>
              </w:rPr>
              <w:t>​</w:t>
            </w:r>
            <w:r>
              <w:rPr>
                <w:rFonts w:hAnsi="宋体" w:cs="Segoe UI"/>
                <w:color w:val="000000"/>
                <w:szCs w:val="18"/>
                <w:lang w:bidi="ar"/>
              </w:rPr>
              <w:t>)</w:t>
            </w:r>
          </w:p>
        </w:tc>
        <w:tc>
          <w:tcPr>
            <w:tcW w:w="2120" w:type="pct"/>
            <w:tcBorders>
              <w:top w:val="single" w:color="auto" w:sz="8" w:space="0"/>
              <w:bottom w:val="single" w:color="auto" w:sz="8" w:space="0"/>
            </w:tcBorders>
            <w:vAlign w:val="center"/>
          </w:tcPr>
          <w:p w14:paraId="14FC1A23">
            <w:pPr>
              <w:pStyle w:val="182"/>
            </w:pPr>
            <w:r>
              <w:rPr>
                <w:rFonts w:hAnsi="宋体" w:cs="Segoe UI"/>
                <w:color w:val="000000"/>
                <w:szCs w:val="18"/>
                <w:lang w:bidi="ar"/>
              </w:rPr>
              <w:t>区域修正系数</w:t>
            </w:r>
          </w:p>
        </w:tc>
        <w:tc>
          <w:tcPr>
            <w:tcW w:w="809" w:type="pct"/>
            <w:tcBorders>
              <w:top w:val="single" w:color="auto" w:sz="8" w:space="0"/>
              <w:bottom w:val="single" w:color="auto" w:sz="8" w:space="0"/>
            </w:tcBorders>
            <w:vAlign w:val="center"/>
          </w:tcPr>
          <w:p w14:paraId="26836D8F">
            <w:pPr>
              <w:pStyle w:val="182"/>
            </w:pPr>
            <w:r>
              <w:rPr>
                <w:rFonts w:hAnsi="宋体" w:cs="Segoe UI"/>
                <w:color w:val="000000"/>
                <w:szCs w:val="18"/>
                <w:lang w:bidi="ar"/>
              </w:rPr>
              <w:t>检测标准</w:t>
            </w:r>
          </w:p>
        </w:tc>
        <w:tc>
          <w:tcPr>
            <w:tcW w:w="595" w:type="pct"/>
            <w:tcBorders>
              <w:top w:val="single" w:color="auto" w:sz="8" w:space="0"/>
              <w:bottom w:val="single" w:color="auto" w:sz="8" w:space="0"/>
            </w:tcBorders>
            <w:vAlign w:val="center"/>
          </w:tcPr>
          <w:p w14:paraId="1B0ECD4F">
            <w:pPr>
              <w:pStyle w:val="182"/>
            </w:pPr>
            <w:r>
              <w:rPr>
                <w:rFonts w:hAnsi="宋体" w:cs="Segoe UI"/>
                <w:color w:val="000000"/>
                <w:szCs w:val="18"/>
                <w:lang w:bidi="ar"/>
              </w:rPr>
              <w:t>效力</w:t>
            </w:r>
          </w:p>
        </w:tc>
      </w:tr>
      <w:tr w14:paraId="2C9B5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9" w:type="pct"/>
            <w:tcBorders>
              <w:top w:val="single" w:color="auto" w:sz="8" w:space="0"/>
            </w:tcBorders>
            <w:vAlign w:val="center"/>
          </w:tcPr>
          <w:p w14:paraId="39AAA1E7">
            <w:pPr>
              <w:pStyle w:val="182"/>
            </w:pPr>
            <w:r>
              <w:rPr>
                <w:rFonts w:hAnsi="宋体" w:cs="Segoe UI"/>
                <w:color w:val="000000"/>
                <w:szCs w:val="18"/>
                <w:lang w:bidi="ar"/>
              </w:rPr>
              <w:t>COD</w:t>
            </w:r>
          </w:p>
        </w:tc>
        <w:tc>
          <w:tcPr>
            <w:tcW w:w="1028" w:type="pct"/>
            <w:tcBorders>
              <w:top w:val="single" w:color="auto" w:sz="8" w:space="0"/>
            </w:tcBorders>
            <w:vAlign w:val="center"/>
          </w:tcPr>
          <w:p w14:paraId="6211FAD3">
            <w:pPr>
              <w:pStyle w:val="182"/>
            </w:pPr>
            <w:r>
              <w:rPr>
                <w:rFonts w:hAnsi="宋体" w:cs="Segoe UI"/>
                <w:color w:val="000000"/>
                <w:szCs w:val="18"/>
                <w:lang w:bidi="ar"/>
              </w:rPr>
              <w:t>50 mg/L</w:t>
            </w:r>
          </w:p>
        </w:tc>
        <w:tc>
          <w:tcPr>
            <w:tcW w:w="2120" w:type="pct"/>
            <w:tcBorders>
              <w:top w:val="single" w:color="auto" w:sz="8" w:space="0"/>
            </w:tcBorders>
            <w:vAlign w:val="center"/>
          </w:tcPr>
          <w:p w14:paraId="66D05DAC">
            <w:pPr>
              <w:pStyle w:val="182"/>
            </w:pPr>
            <w:r>
              <w:rPr>
                <w:rFonts w:hAnsi="宋体" w:cs="Segoe UI"/>
                <w:color w:val="000000"/>
                <w:szCs w:val="18"/>
                <w:lang w:bidi="ar"/>
              </w:rPr>
              <w:t>黄灌区×1.2 / 牧区×1.5</w:t>
            </w:r>
          </w:p>
        </w:tc>
        <w:tc>
          <w:tcPr>
            <w:tcW w:w="809" w:type="pct"/>
            <w:tcBorders>
              <w:top w:val="single" w:color="auto" w:sz="8" w:space="0"/>
            </w:tcBorders>
            <w:vAlign w:val="center"/>
          </w:tcPr>
          <w:p w14:paraId="62A67456">
            <w:pPr>
              <w:pStyle w:val="182"/>
            </w:pPr>
            <w:r>
              <w:rPr>
                <w:rFonts w:hAnsi="宋体" w:cs="Segoe UI"/>
                <w:color w:val="000000"/>
                <w:szCs w:val="18"/>
                <w:lang w:bidi="ar"/>
              </w:rPr>
              <w:t>HJ 828-2017</w:t>
            </w:r>
          </w:p>
        </w:tc>
        <w:tc>
          <w:tcPr>
            <w:tcW w:w="595" w:type="pct"/>
            <w:tcBorders>
              <w:top w:val="single" w:color="auto" w:sz="8" w:space="0"/>
            </w:tcBorders>
            <w:vAlign w:val="center"/>
          </w:tcPr>
          <w:p w14:paraId="26C9F3D1">
            <w:pPr>
              <w:pStyle w:val="182"/>
            </w:pPr>
            <w:r>
              <w:rPr>
                <w:rFonts w:hAnsi="宋体" w:cs="Segoe UI"/>
                <w:color w:val="000000"/>
                <w:szCs w:val="18"/>
                <w:lang w:bidi="ar"/>
              </w:rPr>
              <w:t>强制采用</w:t>
            </w:r>
          </w:p>
        </w:tc>
      </w:tr>
      <w:tr w14:paraId="09C3F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9" w:type="pct"/>
            <w:vAlign w:val="center"/>
          </w:tcPr>
          <w:p w14:paraId="5DF13007">
            <w:pPr>
              <w:pStyle w:val="182"/>
            </w:pPr>
            <w:r>
              <w:rPr>
                <w:rFonts w:hAnsi="宋体" w:cs="Segoe UI"/>
                <w:color w:val="000000"/>
                <w:szCs w:val="18"/>
                <w:lang w:bidi="ar"/>
              </w:rPr>
              <w:t>镉(Cd)</w:t>
            </w:r>
          </w:p>
        </w:tc>
        <w:tc>
          <w:tcPr>
            <w:tcW w:w="1028" w:type="pct"/>
            <w:vAlign w:val="center"/>
          </w:tcPr>
          <w:p w14:paraId="08CC5BB5">
            <w:pPr>
              <w:pStyle w:val="182"/>
            </w:pPr>
            <w:r>
              <w:rPr>
                <w:rFonts w:hAnsi="宋体" w:cs="Segoe UI"/>
                <w:color w:val="000000"/>
                <w:szCs w:val="18"/>
                <w:lang w:bidi="ar"/>
              </w:rPr>
              <w:t>0.005 mg/L</w:t>
            </w:r>
          </w:p>
        </w:tc>
        <w:tc>
          <w:tcPr>
            <w:tcW w:w="2120" w:type="pct"/>
            <w:vAlign w:val="center"/>
          </w:tcPr>
          <w:p w14:paraId="22E6D618">
            <w:pPr>
              <w:pStyle w:val="182"/>
            </w:pPr>
            <w:r>
              <w:rPr>
                <w:rFonts w:hAnsi="宋体" w:cs="Segoe UI"/>
                <w:color w:val="000000"/>
                <w:szCs w:val="18"/>
                <w:lang w:bidi="ar"/>
              </w:rPr>
              <w:t>污泥镉含量&gt;3 mg/kg时×1.5</w:t>
            </w:r>
          </w:p>
        </w:tc>
        <w:tc>
          <w:tcPr>
            <w:tcW w:w="809" w:type="pct"/>
            <w:vAlign w:val="center"/>
          </w:tcPr>
          <w:p w14:paraId="0CB0180F">
            <w:pPr>
              <w:pStyle w:val="182"/>
            </w:pPr>
            <w:r>
              <w:rPr>
                <w:rFonts w:hAnsi="宋体" w:cs="Segoe UI"/>
                <w:color w:val="000000"/>
                <w:szCs w:val="18"/>
                <w:lang w:bidi="ar"/>
              </w:rPr>
              <w:t>GB/T 17141</w:t>
            </w:r>
          </w:p>
        </w:tc>
        <w:tc>
          <w:tcPr>
            <w:tcW w:w="595" w:type="pct"/>
            <w:vAlign w:val="center"/>
          </w:tcPr>
          <w:p w14:paraId="5A97B9E9">
            <w:pPr>
              <w:pStyle w:val="182"/>
            </w:pPr>
            <w:r>
              <w:rPr>
                <w:rFonts w:hAnsi="宋体" w:cs="Segoe UI"/>
                <w:color w:val="000000"/>
                <w:szCs w:val="18"/>
                <w:lang w:bidi="ar"/>
              </w:rPr>
              <w:t>强制采用</w:t>
            </w:r>
          </w:p>
        </w:tc>
      </w:tr>
      <w:tr w14:paraId="25DF6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9" w:type="pct"/>
            <w:vAlign w:val="center"/>
          </w:tcPr>
          <w:p w14:paraId="3EF07417">
            <w:pPr>
              <w:pStyle w:val="182"/>
            </w:pPr>
            <w:r>
              <w:rPr>
                <w:rFonts w:hAnsi="宋体" w:cs="Segoe UI"/>
                <w:color w:val="000000"/>
                <w:szCs w:val="18"/>
                <w:lang w:bidi="ar"/>
              </w:rPr>
              <w:t>镍(Ni)</w:t>
            </w:r>
          </w:p>
        </w:tc>
        <w:tc>
          <w:tcPr>
            <w:tcW w:w="1028" w:type="pct"/>
            <w:vAlign w:val="center"/>
          </w:tcPr>
          <w:p w14:paraId="29A262C9">
            <w:pPr>
              <w:pStyle w:val="182"/>
            </w:pPr>
            <w:r>
              <w:rPr>
                <w:rFonts w:hAnsi="宋体" w:cs="Segoe UI"/>
                <w:color w:val="000000"/>
                <w:szCs w:val="18"/>
                <w:lang w:bidi="ar"/>
              </w:rPr>
              <w:t>0.02 mg/L</w:t>
            </w:r>
          </w:p>
        </w:tc>
        <w:tc>
          <w:tcPr>
            <w:tcW w:w="2120" w:type="pct"/>
            <w:vAlign w:val="center"/>
          </w:tcPr>
          <w:p w14:paraId="55B476FC">
            <w:pPr>
              <w:pStyle w:val="182"/>
            </w:pPr>
            <w:r>
              <w:rPr>
                <w:rFonts w:hAnsi="宋体" w:cs="Segoe UI"/>
                <w:color w:val="000000"/>
                <w:szCs w:val="18"/>
                <w:lang w:bidi="ar"/>
              </w:rPr>
              <w:t>终淋水镍含量&gt;0.01 mg/L时×1.8</w:t>
            </w:r>
          </w:p>
        </w:tc>
        <w:tc>
          <w:tcPr>
            <w:tcW w:w="809" w:type="pct"/>
            <w:vAlign w:val="center"/>
          </w:tcPr>
          <w:p w14:paraId="074583B5">
            <w:pPr>
              <w:pStyle w:val="182"/>
            </w:pPr>
            <w:r>
              <w:rPr>
                <w:rFonts w:hAnsi="宋体" w:cs="Segoe UI"/>
                <w:color w:val="000000"/>
                <w:szCs w:val="18"/>
                <w:lang w:bidi="ar"/>
              </w:rPr>
              <w:t>GB/T 5750.6</w:t>
            </w:r>
          </w:p>
        </w:tc>
        <w:tc>
          <w:tcPr>
            <w:tcW w:w="595" w:type="pct"/>
            <w:vAlign w:val="center"/>
          </w:tcPr>
          <w:p w14:paraId="10DA6849">
            <w:pPr>
              <w:pStyle w:val="182"/>
            </w:pPr>
            <w:r>
              <w:rPr>
                <w:rFonts w:hAnsi="宋体" w:cs="Segoe UI"/>
                <w:color w:val="000000"/>
                <w:szCs w:val="18"/>
                <w:lang w:bidi="ar"/>
              </w:rPr>
              <w:t>强制采用</w:t>
            </w:r>
            <w:r>
              <w:rPr>
                <w:rFonts w:ascii="Times New Roman"/>
                <w:color w:val="000000"/>
                <w:szCs w:val="18"/>
                <w:lang w:bidi="ar"/>
              </w:rPr>
              <w:t>​</w:t>
            </w:r>
          </w:p>
        </w:tc>
      </w:tr>
    </w:tbl>
    <w:p w14:paraId="079DC30B">
      <w:pPr>
        <w:pStyle w:val="60"/>
        <w:ind w:firstLine="0" w:firstLineChars="0"/>
      </w:pPr>
    </w:p>
    <w:p w14:paraId="4A50417B">
      <w:pPr>
        <w:pStyle w:val="108"/>
        <w:spacing w:before="240" w:after="240"/>
      </w:pPr>
      <w:r>
        <w:rPr>
          <w:rFonts w:hint="eastAsia"/>
        </w:rPr>
        <w:t>产品碳水双足迹信息披露</w:t>
      </w:r>
    </w:p>
    <w:p w14:paraId="03ECE647">
      <w:pPr>
        <w:pStyle w:val="109"/>
        <w:spacing w:before="120" w:after="120"/>
      </w:pPr>
      <w:r>
        <w:rPr>
          <w:rFonts w:hint="eastAsia"/>
        </w:rPr>
        <w:t>披露形式</w:t>
      </w:r>
    </w:p>
    <w:p w14:paraId="324AD60F">
      <w:pPr>
        <w:pStyle w:val="60"/>
        <w:ind w:firstLine="420"/>
      </w:pPr>
      <w:r>
        <w:rPr>
          <w:rFonts w:hint="eastAsia"/>
        </w:rPr>
        <w:t>液态乳产品碳水双足迹通报应采用以下三种形式之一或组合：</w:t>
      </w:r>
    </w:p>
    <w:p w14:paraId="7C02D3FD">
      <w:pPr>
        <w:pStyle w:val="178"/>
        <w:numPr>
          <w:ilvl w:val="0"/>
          <w:numId w:val="42"/>
        </w:numPr>
      </w:pPr>
      <w:r>
        <w:rPr>
          <w:rFonts w:hint="eastAsia"/>
        </w:rPr>
        <w:t>产品碳水双足迹评价报告（包含碳足迹、蓝水足迹、灰水足迹完整结果）；</w:t>
      </w:r>
    </w:p>
    <w:p w14:paraId="138B893F">
      <w:pPr>
        <w:pStyle w:val="178"/>
      </w:pPr>
      <w:r>
        <w:rPr>
          <w:rFonts w:hint="eastAsia"/>
        </w:rPr>
        <w:t>产品低碳乳品认证标识（需体现碳足迹强度及认证等级）；</w:t>
      </w:r>
    </w:p>
    <w:p w14:paraId="6B1D04EF">
      <w:pPr>
        <w:pStyle w:val="178"/>
      </w:pPr>
      <w:r>
        <w:rPr>
          <w:rFonts w:hint="eastAsia"/>
        </w:rPr>
        <w:t>产品水足迹声明（需明确区分蓝水消耗量与灰水污染量）。</w:t>
      </w:r>
    </w:p>
    <w:p w14:paraId="535336DD">
      <w:pPr>
        <w:pStyle w:val="109"/>
        <w:spacing w:before="120" w:after="120"/>
      </w:pPr>
      <w:r>
        <w:rPr>
          <w:rFonts w:hint="eastAsia"/>
        </w:rPr>
        <w:t>产品碳水足迹评价报告</w:t>
      </w:r>
    </w:p>
    <w:p w14:paraId="3A6CA7CF">
      <w:pPr>
        <w:pStyle w:val="69"/>
        <w:spacing w:before="120" w:after="120"/>
        <w:ind w:left="0"/>
      </w:pPr>
      <w:r>
        <w:t>基本要求</w:t>
      </w:r>
    </w:p>
    <w:p w14:paraId="756E7CC6">
      <w:pPr>
        <w:pStyle w:val="60"/>
        <w:ind w:firstLine="420"/>
      </w:pPr>
      <w:r>
        <w:t>产品碳水足迹评价结果和结论应确保完整性、准确性且无偏向性。应透明、详尽地阐述评价结果、数据、方法、假设和局限性，使利益相关方能够理解产品碳水足迹的固有复杂性并做出合理判断。评价报告中的结果和解释应以符合评价目标的方式呈现和使用。</w:t>
      </w:r>
    </w:p>
    <w:p w14:paraId="2AB5AA32">
      <w:pPr>
        <w:pStyle w:val="69"/>
        <w:spacing w:before="120" w:after="120"/>
        <w:ind w:left="0"/>
      </w:pPr>
      <w:r>
        <w:t>报告内容</w:t>
      </w:r>
    </w:p>
    <w:p w14:paraId="164F1A28">
      <w:pPr>
        <w:pStyle w:val="26"/>
        <w:widowControl/>
        <w:shd w:val="clear" w:color="auto" w:fill="FFFFFF"/>
        <w:spacing w:before="160" w:beforeAutospacing="0" w:after="160" w:afterAutospacing="0" w:line="17" w:lineRule="atLeast"/>
        <w:ind w:firstLine="420" w:firstLineChars="200"/>
        <w:textAlignment w:val="baseline"/>
        <w:rPr>
          <w:rFonts w:hint="eastAsia" w:ascii="宋体" w:hAnsi="宋体"/>
          <w:sz w:val="21"/>
        </w:rPr>
      </w:pPr>
      <w:r>
        <w:rPr>
          <w:rFonts w:ascii="宋体" w:hAnsi="宋体"/>
          <w:sz w:val="21"/>
        </w:rPr>
        <w:t>产品碳水足迹评价报告应记录产品碳水足迹的量化结果，并说明在评价目标确定和范围界定阶段所作出的各项决定，同时证明评价过程符合本标准的所有要求。报告具体格式与内容要求参见附录</w:t>
      </w:r>
      <w:r>
        <w:rPr>
          <w:rFonts w:hint="eastAsia" w:ascii="宋体" w:hAnsi="宋体"/>
          <w:sz w:val="21"/>
        </w:rPr>
        <w:t xml:space="preserve"> B</w:t>
      </w:r>
      <w:r>
        <w:rPr>
          <w:rFonts w:ascii="宋体" w:hAnsi="宋体"/>
          <w:sz w:val="21"/>
        </w:rPr>
        <w:t>。</w:t>
      </w:r>
    </w:p>
    <w:p w14:paraId="73AB29C6">
      <w:pPr>
        <w:pStyle w:val="69"/>
        <w:spacing w:before="120" w:after="120"/>
        <w:ind w:left="0"/>
      </w:pPr>
      <w:r>
        <w:t>评价结果有效期</w:t>
      </w:r>
    </w:p>
    <w:p w14:paraId="086E8872">
      <w:pPr>
        <w:pStyle w:val="60"/>
        <w:ind w:firstLine="420"/>
      </w:pPr>
      <w:r>
        <w:t>产品碳水足迹评价结果的有效期应综合考虑产品生命周期的特性，最长不宜超过三年。若产品生周期内发生下列变化，则原有评价结果立即失效，需重新开展评价：若产品生命周期的非计划变更导致产品碳足迹或水足迹的估测值增加超过8%，且该状况持续三个月以上；若产品生命周期的计划内变更导致产品碳足迹或水足迹的估测值增加超过4%，且该状况持续三个月以上。</w:t>
      </w:r>
    </w:p>
    <w:p w14:paraId="1375261A">
      <w:pPr>
        <w:pStyle w:val="69"/>
        <w:spacing w:before="120" w:after="120"/>
        <w:ind w:left="0"/>
      </w:pPr>
      <w:r>
        <w:t>信息保密</w:t>
      </w:r>
    </w:p>
    <w:p w14:paraId="10437F20">
      <w:pPr>
        <w:pStyle w:val="26"/>
        <w:widowControl/>
        <w:shd w:val="clear" w:color="auto" w:fill="FFFFFF"/>
        <w:spacing w:before="160" w:beforeAutospacing="0" w:after="160" w:afterAutospacing="0" w:line="17" w:lineRule="atLeast"/>
        <w:ind w:firstLine="420" w:firstLineChars="200"/>
        <w:textAlignment w:val="baseline"/>
        <w:rPr>
          <w:rFonts w:ascii="宋体" w:hAnsi="Times New Roman"/>
          <w:sz w:val="21"/>
        </w:rPr>
      </w:pPr>
      <w:r>
        <w:rPr>
          <w:rFonts w:ascii="宋体" w:hAnsi="Times New Roman"/>
          <w:sz w:val="21"/>
        </w:rPr>
        <w:t>用于支持产品碳水足迹评价的资料可能包含企业生产活动的机密信息。各利益相关方提供的信息享有被保护的权利，相关方应共同商定适当方式，确保信息交换过程中的保密性。</w:t>
      </w:r>
    </w:p>
    <w:p w14:paraId="0870B3A3">
      <w:pPr>
        <w:pStyle w:val="109"/>
        <w:spacing w:before="120" w:after="120"/>
      </w:pPr>
      <w:r>
        <w:t>产品碳足迹标识</w:t>
      </w:r>
    </w:p>
    <w:p w14:paraId="66A832DA">
      <w:pPr>
        <w:pStyle w:val="26"/>
        <w:widowControl/>
        <w:shd w:val="clear" w:color="auto" w:fill="FFFFFF"/>
        <w:spacing w:before="160" w:beforeAutospacing="0" w:after="160" w:afterAutospacing="0" w:line="17" w:lineRule="atLeast"/>
        <w:ind w:firstLine="420" w:firstLineChars="200"/>
        <w:textAlignment w:val="baseline"/>
        <w:rPr>
          <w:rFonts w:ascii="宋体" w:hAnsi="Times New Roman"/>
          <w:sz w:val="21"/>
        </w:rPr>
      </w:pPr>
      <w:r>
        <w:rPr>
          <w:rFonts w:ascii="宋体" w:hAnsi="Times New Roman"/>
          <w:sz w:val="21"/>
        </w:rPr>
        <w:t>产品碳足迹标识采用碳标签的形式。</w:t>
      </w:r>
    </w:p>
    <w:p w14:paraId="5DB3CFB4">
      <w:pPr>
        <w:pStyle w:val="109"/>
        <w:spacing w:before="120" w:after="120"/>
      </w:pPr>
      <w:r>
        <w:t>产品碳水足迹声明</w:t>
      </w:r>
    </w:p>
    <w:p w14:paraId="5634058E">
      <w:pPr>
        <w:pStyle w:val="169"/>
        <w:ind w:left="0"/>
      </w:pPr>
      <w:r>
        <w:t>产品碳水足迹评价结果符合本标准的声明应在评价报告等主要文件或产品包装上呈现，并由实施评价的组织正式发布。</w:t>
      </w:r>
    </w:p>
    <w:p w14:paraId="24C5F845">
      <w:pPr>
        <w:pStyle w:val="169"/>
        <w:ind w:left="0"/>
      </w:pPr>
      <w:r>
        <w:t>声明应说明符合性评价的类型，包括：</w:t>
      </w:r>
    </w:p>
    <w:p w14:paraId="59D2472E">
      <w:pPr>
        <w:pStyle w:val="178"/>
        <w:numPr>
          <w:ilvl w:val="0"/>
          <w:numId w:val="43"/>
        </w:numPr>
      </w:pPr>
      <w:r>
        <w:t>独立第三方认证：若组织欲证明其产品碳水足迹评价结果经过独立核实并符合本标准要求，应由独立第三方认证机构进行认证；</w:t>
      </w:r>
    </w:p>
    <w:p w14:paraId="7301A0ED">
      <w:pPr>
        <w:pStyle w:val="178"/>
        <w:numPr>
          <w:ilvl w:val="0"/>
          <w:numId w:val="43"/>
        </w:numPr>
      </w:pPr>
      <w:r>
        <w:t>其他方核证：若组织委托独立第三方以外的机构进行核证，应确保该机构有能力满足本标准规定的要求；</w:t>
      </w:r>
    </w:p>
    <w:p w14:paraId="20878F8C">
      <w:pPr>
        <w:pStyle w:val="178"/>
        <w:numPr>
          <w:ilvl w:val="0"/>
          <w:numId w:val="43"/>
        </w:numPr>
      </w:pPr>
      <w:r>
        <w:t>自我声明：产品生产者可自行验证评价结果，并声明其产品碳水足迹评价符合GB/T 24021的要求。</w:t>
      </w:r>
    </w:p>
    <w:p w14:paraId="0B9AB39F">
      <w:pPr>
        <w:pStyle w:val="60"/>
        <w:ind w:firstLine="420"/>
      </w:pPr>
    </w:p>
    <w:p w14:paraId="48E9925C">
      <w:pPr>
        <w:pStyle w:val="60"/>
        <w:ind w:firstLine="420"/>
      </w:pPr>
    </w:p>
    <w:p w14:paraId="43A0A4B8">
      <w:pPr>
        <w:pStyle w:val="60"/>
        <w:ind w:firstLine="420"/>
      </w:pPr>
    </w:p>
    <w:p w14:paraId="04DC03C2">
      <w:pPr>
        <w:pStyle w:val="60"/>
        <w:ind w:firstLine="420"/>
        <w:sectPr>
          <w:pgSz w:w="11906" w:h="16838"/>
          <w:pgMar w:top="1928" w:right="1134" w:bottom="1134" w:left="1134" w:header="1418" w:footer="1134" w:gutter="284"/>
          <w:pgNumType w:start="1"/>
          <w:cols w:space="425" w:num="1"/>
          <w:formProt w:val="0"/>
          <w:docGrid w:linePitch="312" w:charSpace="0"/>
        </w:sectPr>
      </w:pPr>
    </w:p>
    <w:bookmarkEnd w:id="22"/>
    <w:p w14:paraId="0788E5F3">
      <w:pPr>
        <w:pStyle w:val="202"/>
        <w:rPr>
          <w:rFonts w:hint="eastAsia"/>
          <w:vanish w:val="0"/>
        </w:rPr>
      </w:pPr>
      <w:bookmarkStart w:id="45" w:name="BookMark5"/>
    </w:p>
    <w:p w14:paraId="29EA3ECC">
      <w:pPr>
        <w:pStyle w:val="203"/>
        <w:rPr>
          <w:vanish w:val="0"/>
        </w:rPr>
      </w:pPr>
    </w:p>
    <w:p w14:paraId="1A77CF56">
      <w:pPr>
        <w:pStyle w:val="80"/>
        <w:spacing w:after="120"/>
      </w:pPr>
      <w:r>
        <w:br w:type="textWrapping"/>
      </w:r>
      <w:r>
        <w:rPr>
          <w:rFonts w:hint="eastAsia"/>
        </w:rPr>
        <w:t>（资料性）</w:t>
      </w:r>
      <w:r>
        <w:br w:type="textWrapping"/>
      </w:r>
      <w:r>
        <w:rPr>
          <w:rFonts w:hint="eastAsia"/>
        </w:rPr>
        <w:t>现场调研数据收集相关表格</w:t>
      </w:r>
    </w:p>
    <w:p w14:paraId="0159C4B4">
      <w:pPr>
        <w:pStyle w:val="60"/>
        <w:ind w:firstLine="420"/>
      </w:pPr>
      <w:bookmarkStart w:id="46" w:name="_Hlk208256919"/>
      <w:r>
        <w:rPr>
          <w:rFonts w:hint="eastAsia"/>
        </w:rPr>
        <w:t>原材料获取阶段数据采集表</w:t>
      </w:r>
      <w:bookmarkEnd w:id="46"/>
      <w:r>
        <w:rPr>
          <w:rFonts w:hint="eastAsia"/>
        </w:rPr>
        <w:t>见表A.1。</w:t>
      </w:r>
    </w:p>
    <w:p w14:paraId="6BDBD22E">
      <w:pPr>
        <w:pStyle w:val="81"/>
        <w:spacing w:before="120" w:after="120"/>
      </w:pPr>
      <w:r>
        <w:rPr>
          <w:rFonts w:hint="eastAsia"/>
        </w:rPr>
        <w:t>原材料获取阶段数据采集表</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3"/>
        <w:gridCol w:w="921"/>
        <w:gridCol w:w="819"/>
        <w:gridCol w:w="1224"/>
        <w:gridCol w:w="2537"/>
        <w:gridCol w:w="2240"/>
      </w:tblGrid>
      <w:tr w14:paraId="030FA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71" w:type="pct"/>
            <w:tcBorders>
              <w:top w:val="single" w:color="auto" w:sz="8" w:space="0"/>
              <w:bottom w:val="single" w:color="auto" w:sz="8" w:space="0"/>
            </w:tcBorders>
            <w:vAlign w:val="center"/>
          </w:tcPr>
          <w:p w14:paraId="6B1B0FAB">
            <w:pPr>
              <w:pStyle w:val="182"/>
              <w:rPr>
                <w:rFonts w:hint="eastAsia" w:hAnsi="宋体"/>
              </w:rPr>
            </w:pPr>
            <w:r>
              <w:rPr>
                <w:rFonts w:hint="eastAsia" w:hAnsi="宋体" w:cs="微软雅黑"/>
                <w:color w:val="000000"/>
                <w:lang w:bidi="ar"/>
              </w:rPr>
              <w:t>数</w:t>
            </w:r>
            <w:r>
              <w:rPr>
                <w:rFonts w:hAnsi="宋体" w:cs="Segoe UI"/>
                <w:color w:val="000000"/>
                <w:lang w:bidi="ar"/>
              </w:rPr>
              <w:t>据类别</w:t>
            </w:r>
          </w:p>
        </w:tc>
        <w:tc>
          <w:tcPr>
            <w:tcW w:w="491" w:type="pct"/>
            <w:tcBorders>
              <w:top w:val="single" w:color="auto" w:sz="8" w:space="0"/>
              <w:bottom w:val="single" w:color="auto" w:sz="8" w:space="0"/>
            </w:tcBorders>
            <w:vAlign w:val="center"/>
          </w:tcPr>
          <w:p w14:paraId="0834FA27">
            <w:pPr>
              <w:pStyle w:val="182"/>
              <w:rPr>
                <w:rFonts w:hint="eastAsia" w:hAnsi="宋体"/>
              </w:rPr>
            </w:pPr>
            <w:r>
              <w:rPr>
                <w:rFonts w:hAnsi="宋体" w:cs="Segoe UI"/>
                <w:color w:val="000000"/>
                <w:lang w:bidi="ar"/>
              </w:rPr>
              <w:t>单位</w:t>
            </w:r>
          </w:p>
        </w:tc>
        <w:tc>
          <w:tcPr>
            <w:tcW w:w="437" w:type="pct"/>
            <w:tcBorders>
              <w:top w:val="single" w:color="auto" w:sz="8" w:space="0"/>
              <w:bottom w:val="single" w:color="auto" w:sz="8" w:space="0"/>
            </w:tcBorders>
            <w:vAlign w:val="center"/>
          </w:tcPr>
          <w:p w14:paraId="736D545A">
            <w:pPr>
              <w:pStyle w:val="182"/>
              <w:rPr>
                <w:rFonts w:hint="eastAsia" w:hAnsi="宋体"/>
              </w:rPr>
            </w:pPr>
            <w:r>
              <w:rPr>
                <w:rFonts w:hAnsi="宋体" w:cs="Segoe UI"/>
                <w:color w:val="000000"/>
                <w:lang w:bidi="ar"/>
              </w:rPr>
              <w:t>填写区域</w:t>
            </w:r>
          </w:p>
        </w:tc>
        <w:tc>
          <w:tcPr>
            <w:tcW w:w="653" w:type="pct"/>
            <w:tcBorders>
              <w:top w:val="single" w:color="auto" w:sz="8" w:space="0"/>
              <w:bottom w:val="single" w:color="auto" w:sz="8" w:space="0"/>
            </w:tcBorders>
            <w:vAlign w:val="center"/>
          </w:tcPr>
          <w:p w14:paraId="4449E4A6">
            <w:pPr>
              <w:pStyle w:val="182"/>
              <w:rPr>
                <w:rFonts w:hint="eastAsia" w:hAnsi="宋体"/>
              </w:rPr>
            </w:pPr>
            <w:r>
              <w:rPr>
                <w:rFonts w:hAnsi="宋体" w:cs="Segoe UI"/>
                <w:color w:val="000000"/>
                <w:lang w:bidi="ar"/>
              </w:rPr>
              <w:t>采集指引</w:t>
            </w:r>
          </w:p>
        </w:tc>
        <w:tc>
          <w:tcPr>
            <w:tcW w:w="1353" w:type="pct"/>
            <w:tcBorders>
              <w:top w:val="single" w:color="auto" w:sz="8" w:space="0"/>
              <w:bottom w:val="single" w:color="auto" w:sz="8" w:space="0"/>
            </w:tcBorders>
            <w:vAlign w:val="center"/>
          </w:tcPr>
          <w:p w14:paraId="61D59A21">
            <w:pPr>
              <w:pStyle w:val="182"/>
              <w:rPr>
                <w:rFonts w:hint="eastAsia" w:hAnsi="宋体"/>
              </w:rPr>
            </w:pPr>
            <w:r>
              <w:rPr>
                <w:rFonts w:hint="eastAsia" w:hAnsi="宋体" w:cs="宋体"/>
                <w:color w:val="000000"/>
                <w:sz w:val="22"/>
                <w:szCs w:val="22"/>
                <w:lang w:bidi="ar"/>
              </w:rPr>
              <w:t>记录频次</w:t>
            </w:r>
          </w:p>
        </w:tc>
        <w:tc>
          <w:tcPr>
            <w:tcW w:w="1195" w:type="pct"/>
            <w:tcBorders>
              <w:top w:val="single" w:color="auto" w:sz="8" w:space="0"/>
              <w:bottom w:val="single" w:color="auto" w:sz="8" w:space="0"/>
            </w:tcBorders>
            <w:vAlign w:val="center"/>
          </w:tcPr>
          <w:p w14:paraId="5A86DE6B">
            <w:pPr>
              <w:pStyle w:val="182"/>
              <w:rPr>
                <w:rFonts w:hint="eastAsia" w:hAnsi="宋体"/>
              </w:rPr>
            </w:pPr>
            <w:r>
              <w:rPr>
                <w:rFonts w:hAnsi="宋体" w:cs="Segoe UI"/>
                <w:color w:val="000000"/>
                <w:lang w:bidi="ar"/>
              </w:rPr>
              <w:t>寒区修正</w:t>
            </w:r>
          </w:p>
        </w:tc>
      </w:tr>
      <w:tr w14:paraId="3E532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tcBorders>
              <w:top w:val="single" w:color="auto" w:sz="8" w:space="0"/>
            </w:tcBorders>
            <w:vAlign w:val="center"/>
          </w:tcPr>
          <w:p w14:paraId="0A970AC5">
            <w:pPr>
              <w:pStyle w:val="182"/>
            </w:pPr>
            <w:r>
              <w:rPr>
                <w:rFonts w:hAnsi="宋体" w:cs="Segoe UI"/>
                <w:color w:val="000000"/>
                <w:szCs w:val="18"/>
                <w:lang w:bidi="ar"/>
              </w:rPr>
              <w:t>奶牛养殖</w:t>
            </w:r>
          </w:p>
        </w:tc>
        <w:tc>
          <w:tcPr>
            <w:tcW w:w="491" w:type="pct"/>
            <w:tcBorders>
              <w:top w:val="single" w:color="auto" w:sz="8" w:space="0"/>
            </w:tcBorders>
            <w:vAlign w:val="center"/>
          </w:tcPr>
          <w:p w14:paraId="5F84D8F2">
            <w:pPr>
              <w:pStyle w:val="182"/>
            </w:pPr>
          </w:p>
        </w:tc>
        <w:tc>
          <w:tcPr>
            <w:tcW w:w="437" w:type="pct"/>
            <w:tcBorders>
              <w:top w:val="single" w:color="auto" w:sz="8" w:space="0"/>
            </w:tcBorders>
            <w:vAlign w:val="center"/>
          </w:tcPr>
          <w:p w14:paraId="0683A149">
            <w:pPr>
              <w:pStyle w:val="182"/>
            </w:pPr>
          </w:p>
        </w:tc>
        <w:tc>
          <w:tcPr>
            <w:tcW w:w="653" w:type="pct"/>
            <w:tcBorders>
              <w:top w:val="single" w:color="auto" w:sz="8" w:space="0"/>
            </w:tcBorders>
            <w:vAlign w:val="center"/>
          </w:tcPr>
          <w:p w14:paraId="02CF2EDC">
            <w:pPr>
              <w:pStyle w:val="182"/>
            </w:pPr>
          </w:p>
        </w:tc>
        <w:tc>
          <w:tcPr>
            <w:tcW w:w="1353" w:type="pct"/>
            <w:tcBorders>
              <w:top w:val="single" w:color="auto" w:sz="8" w:space="0"/>
            </w:tcBorders>
            <w:vAlign w:val="center"/>
          </w:tcPr>
          <w:p w14:paraId="61457062">
            <w:pPr>
              <w:pStyle w:val="182"/>
            </w:pPr>
          </w:p>
        </w:tc>
        <w:tc>
          <w:tcPr>
            <w:tcW w:w="1195" w:type="pct"/>
            <w:tcBorders>
              <w:top w:val="single" w:color="auto" w:sz="8" w:space="0"/>
            </w:tcBorders>
            <w:vAlign w:val="center"/>
          </w:tcPr>
          <w:p w14:paraId="3FF53DDD">
            <w:pPr>
              <w:pStyle w:val="182"/>
            </w:pPr>
          </w:p>
        </w:tc>
      </w:tr>
      <w:tr w14:paraId="58399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16C2F372">
            <w:pPr>
              <w:pStyle w:val="182"/>
            </w:pPr>
            <w:r>
              <w:rPr>
                <w:rFonts w:hAnsi="宋体" w:cs="Segoe UI"/>
                <w:color w:val="000000"/>
                <w:szCs w:val="18"/>
                <w:lang w:bidi="ar"/>
              </w:rPr>
              <w:t>泌乳牛存栏量</w:t>
            </w:r>
          </w:p>
        </w:tc>
        <w:tc>
          <w:tcPr>
            <w:tcW w:w="491" w:type="pct"/>
            <w:vAlign w:val="center"/>
          </w:tcPr>
          <w:p w14:paraId="50021B34">
            <w:pPr>
              <w:pStyle w:val="182"/>
            </w:pPr>
            <w:r>
              <w:rPr>
                <w:rFonts w:hAnsi="宋体" w:cs="Segoe UI"/>
                <w:color w:val="000000"/>
                <w:szCs w:val="18"/>
                <w:lang w:bidi="ar"/>
              </w:rPr>
              <w:t>头</w:t>
            </w:r>
          </w:p>
        </w:tc>
        <w:tc>
          <w:tcPr>
            <w:tcW w:w="437" w:type="pct"/>
            <w:vAlign w:val="center"/>
          </w:tcPr>
          <w:p w14:paraId="7BDA7BF8">
            <w:pPr>
              <w:pStyle w:val="182"/>
            </w:pPr>
          </w:p>
        </w:tc>
        <w:tc>
          <w:tcPr>
            <w:tcW w:w="653" w:type="pct"/>
            <w:vAlign w:val="center"/>
          </w:tcPr>
          <w:p w14:paraId="07D2D062">
            <w:pPr>
              <w:pStyle w:val="182"/>
            </w:pPr>
            <w:r>
              <w:rPr>
                <w:rFonts w:hAnsi="宋体" w:cs="Segoe UI"/>
                <w:color w:val="000000"/>
                <w:szCs w:val="18"/>
                <w:lang w:bidi="ar"/>
              </w:rPr>
              <w:t>牧场管理系统</w:t>
            </w:r>
          </w:p>
        </w:tc>
        <w:tc>
          <w:tcPr>
            <w:tcW w:w="1353" w:type="pct"/>
            <w:vAlign w:val="center"/>
          </w:tcPr>
          <w:p w14:paraId="3D90F9AC">
            <w:pPr>
              <w:pStyle w:val="182"/>
            </w:pPr>
            <w:r>
              <w:rPr>
                <w:rFonts w:hAnsi="宋体" w:cs="Segoe UI"/>
                <w:color w:val="000000"/>
                <w:szCs w:val="18"/>
                <w:lang w:bidi="ar"/>
              </w:rPr>
              <w:t>每日记录</w:t>
            </w:r>
          </w:p>
        </w:tc>
        <w:tc>
          <w:tcPr>
            <w:tcW w:w="1195" w:type="pct"/>
            <w:vAlign w:val="center"/>
          </w:tcPr>
          <w:p w14:paraId="7DC70C8E">
            <w:pPr>
              <w:pStyle w:val="182"/>
            </w:pPr>
            <w:r>
              <w:rPr>
                <w:rFonts w:hAnsi="宋体" w:cs="Segoe UI"/>
                <w:color w:val="000000"/>
                <w:szCs w:val="18"/>
                <w:lang w:bidi="ar"/>
              </w:rPr>
              <w:t>冬季×0.98（冻伤损耗）</w:t>
            </w:r>
          </w:p>
        </w:tc>
      </w:tr>
      <w:tr w14:paraId="2E44D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33A12CE9">
            <w:pPr>
              <w:pStyle w:val="182"/>
            </w:pPr>
            <w:r>
              <w:rPr>
                <w:rFonts w:hAnsi="宋体" w:cs="Segoe UI"/>
                <w:color w:val="000000"/>
                <w:szCs w:val="18"/>
                <w:lang w:bidi="ar"/>
              </w:rPr>
              <w:t>日均干物质采食量</w:t>
            </w:r>
          </w:p>
        </w:tc>
        <w:tc>
          <w:tcPr>
            <w:tcW w:w="491" w:type="pct"/>
            <w:vAlign w:val="center"/>
          </w:tcPr>
          <w:p w14:paraId="4944B65E">
            <w:pPr>
              <w:pStyle w:val="182"/>
            </w:pPr>
            <w:r>
              <w:rPr>
                <w:rFonts w:hAnsi="宋体" w:cs="Segoe UI"/>
                <w:color w:val="000000"/>
                <w:szCs w:val="18"/>
                <w:lang w:bidi="ar"/>
              </w:rPr>
              <w:t>kg/头·天</w:t>
            </w:r>
          </w:p>
        </w:tc>
        <w:tc>
          <w:tcPr>
            <w:tcW w:w="437" w:type="pct"/>
            <w:vAlign w:val="center"/>
          </w:tcPr>
          <w:p w14:paraId="6C15182D">
            <w:pPr>
              <w:pStyle w:val="182"/>
            </w:pPr>
          </w:p>
        </w:tc>
        <w:tc>
          <w:tcPr>
            <w:tcW w:w="653" w:type="pct"/>
            <w:vAlign w:val="center"/>
          </w:tcPr>
          <w:p w14:paraId="004D62FF">
            <w:pPr>
              <w:pStyle w:val="182"/>
            </w:pPr>
            <w:r>
              <w:rPr>
                <w:rFonts w:hAnsi="宋体" w:cs="Segoe UI"/>
                <w:color w:val="000000"/>
                <w:szCs w:val="18"/>
                <w:lang w:bidi="ar"/>
              </w:rPr>
              <w:t>电子饲喂系统</w:t>
            </w:r>
          </w:p>
        </w:tc>
        <w:tc>
          <w:tcPr>
            <w:tcW w:w="1353" w:type="pct"/>
            <w:vAlign w:val="center"/>
          </w:tcPr>
          <w:p w14:paraId="33DB92CD">
            <w:pPr>
              <w:pStyle w:val="182"/>
            </w:pPr>
            <w:r>
              <w:rPr>
                <w:rFonts w:hAnsi="宋体" w:cs="Segoe UI"/>
                <w:color w:val="000000"/>
                <w:szCs w:val="18"/>
                <w:lang w:bidi="ar"/>
              </w:rPr>
              <w:t>早晚两次记录均值</w:t>
            </w:r>
          </w:p>
        </w:tc>
        <w:tc>
          <w:tcPr>
            <w:tcW w:w="1195" w:type="pct"/>
            <w:vAlign w:val="center"/>
          </w:tcPr>
          <w:p w14:paraId="099B84DD">
            <w:pPr>
              <w:pStyle w:val="182"/>
            </w:pPr>
            <w:r>
              <w:rPr>
                <w:rFonts w:hAnsi="宋体" w:cs="Segoe UI"/>
                <w:color w:val="000000"/>
                <w:szCs w:val="18"/>
                <w:lang w:bidi="ar"/>
              </w:rPr>
              <w:t>冬季×1.12（牧草补偿）</w:t>
            </w:r>
          </w:p>
        </w:tc>
      </w:tr>
      <w:tr w14:paraId="4EC84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2129C715">
            <w:pPr>
              <w:pStyle w:val="182"/>
            </w:pPr>
            <w:r>
              <w:rPr>
                <w:rFonts w:hAnsi="宋体" w:cs="Segoe UI"/>
                <w:color w:val="000000"/>
                <w:szCs w:val="18"/>
                <w:lang w:bidi="ar"/>
              </w:rPr>
              <w:t>饲料总能值</w:t>
            </w:r>
          </w:p>
        </w:tc>
        <w:tc>
          <w:tcPr>
            <w:tcW w:w="491" w:type="pct"/>
            <w:vAlign w:val="center"/>
          </w:tcPr>
          <w:p w14:paraId="5AC724B4">
            <w:pPr>
              <w:pStyle w:val="182"/>
            </w:pPr>
            <w:r>
              <w:rPr>
                <w:rFonts w:hAnsi="宋体" w:cs="Segoe UI"/>
                <w:color w:val="000000"/>
                <w:szCs w:val="18"/>
                <w:lang w:bidi="ar"/>
              </w:rPr>
              <w:t>MJ/kg</w:t>
            </w:r>
          </w:p>
        </w:tc>
        <w:tc>
          <w:tcPr>
            <w:tcW w:w="437" w:type="pct"/>
            <w:vAlign w:val="center"/>
          </w:tcPr>
          <w:p w14:paraId="24D7F073">
            <w:pPr>
              <w:pStyle w:val="182"/>
            </w:pPr>
          </w:p>
        </w:tc>
        <w:tc>
          <w:tcPr>
            <w:tcW w:w="653" w:type="pct"/>
            <w:vAlign w:val="center"/>
          </w:tcPr>
          <w:p w14:paraId="0B302434">
            <w:pPr>
              <w:pStyle w:val="182"/>
            </w:pPr>
            <w:r>
              <w:rPr>
                <w:rFonts w:hAnsi="宋体" w:cs="Segoe UI"/>
                <w:color w:val="000000"/>
                <w:szCs w:val="18"/>
                <w:lang w:bidi="ar"/>
              </w:rPr>
              <w:t>实验室检测</w:t>
            </w:r>
          </w:p>
        </w:tc>
        <w:tc>
          <w:tcPr>
            <w:tcW w:w="1353" w:type="pct"/>
            <w:vAlign w:val="center"/>
          </w:tcPr>
          <w:p w14:paraId="50E989C0">
            <w:pPr>
              <w:pStyle w:val="182"/>
            </w:pPr>
            <w:r>
              <w:rPr>
                <w:rFonts w:hAnsi="宋体" w:cs="Segoe UI"/>
                <w:color w:val="000000"/>
                <w:szCs w:val="18"/>
                <w:lang w:bidi="ar"/>
              </w:rPr>
              <w:t>GB/T 6432</w:t>
            </w:r>
          </w:p>
        </w:tc>
        <w:tc>
          <w:tcPr>
            <w:tcW w:w="1195" w:type="pct"/>
            <w:vAlign w:val="center"/>
          </w:tcPr>
          <w:p w14:paraId="2A5660B2">
            <w:pPr>
              <w:pStyle w:val="182"/>
            </w:pPr>
            <w:r>
              <w:rPr>
                <w:rFonts w:hAnsi="宋体" w:cs="Segoe UI"/>
                <w:color w:val="000000"/>
                <w:szCs w:val="18"/>
                <w:lang w:bidi="ar"/>
              </w:rPr>
              <w:t>—</w:t>
            </w:r>
          </w:p>
        </w:tc>
      </w:tr>
      <w:tr w14:paraId="452C2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7548801D">
            <w:pPr>
              <w:pStyle w:val="182"/>
            </w:pPr>
            <w:r>
              <w:rPr>
                <w:rFonts w:hAnsi="宋体" w:cs="Segoe UI"/>
                <w:color w:val="000000"/>
                <w:szCs w:val="18"/>
                <w:lang w:bidi="ar"/>
              </w:rPr>
              <w:t>饮水槽日均补水量</w:t>
            </w:r>
          </w:p>
        </w:tc>
        <w:tc>
          <w:tcPr>
            <w:tcW w:w="491" w:type="pct"/>
            <w:vAlign w:val="center"/>
          </w:tcPr>
          <w:p w14:paraId="7967E001">
            <w:pPr>
              <w:pStyle w:val="182"/>
            </w:pPr>
            <w:r>
              <w:rPr>
                <w:rFonts w:hAnsi="宋体" w:cs="Segoe UI"/>
                <w:color w:val="000000"/>
                <w:szCs w:val="18"/>
                <w:lang w:bidi="ar"/>
              </w:rPr>
              <w:t>m</w:t>
            </w:r>
            <w:r>
              <w:rPr>
                <w:rFonts w:hint="eastAsia" w:hAnsi="宋体"/>
                <w:szCs w:val="18"/>
                <w:vertAlign w:val="superscript"/>
              </w:rPr>
              <w:t>3</w:t>
            </w:r>
          </w:p>
        </w:tc>
        <w:tc>
          <w:tcPr>
            <w:tcW w:w="437" w:type="pct"/>
            <w:vAlign w:val="center"/>
          </w:tcPr>
          <w:p w14:paraId="21096FCA">
            <w:pPr>
              <w:pStyle w:val="182"/>
            </w:pPr>
          </w:p>
        </w:tc>
        <w:tc>
          <w:tcPr>
            <w:tcW w:w="653" w:type="pct"/>
            <w:vAlign w:val="center"/>
          </w:tcPr>
          <w:p w14:paraId="021261BE">
            <w:pPr>
              <w:pStyle w:val="182"/>
            </w:pPr>
            <w:r>
              <w:rPr>
                <w:rFonts w:hAnsi="宋体" w:cs="Segoe UI"/>
                <w:color w:val="000000"/>
                <w:szCs w:val="18"/>
                <w:lang w:bidi="ar"/>
              </w:rPr>
              <w:t>智能水表</w:t>
            </w:r>
          </w:p>
        </w:tc>
        <w:tc>
          <w:tcPr>
            <w:tcW w:w="1353" w:type="pct"/>
            <w:vAlign w:val="center"/>
          </w:tcPr>
          <w:p w14:paraId="163C62D5">
            <w:pPr>
              <w:pStyle w:val="182"/>
            </w:pPr>
            <w:r>
              <w:rPr>
                <w:rFonts w:hAnsi="宋体" w:cs="Segoe UI"/>
                <w:color w:val="000000"/>
                <w:szCs w:val="18"/>
                <w:lang w:bidi="ar"/>
              </w:rPr>
              <w:t>每2小时记录</w:t>
            </w:r>
          </w:p>
        </w:tc>
        <w:tc>
          <w:tcPr>
            <w:tcW w:w="1195" w:type="pct"/>
            <w:vAlign w:val="center"/>
          </w:tcPr>
          <w:p w14:paraId="25A850B0">
            <w:pPr>
              <w:pStyle w:val="182"/>
            </w:pPr>
            <w:r>
              <w:rPr>
                <w:rFonts w:hAnsi="宋体" w:cs="Segoe UI"/>
                <w:color w:val="000000"/>
                <w:szCs w:val="18"/>
                <w:lang w:bidi="ar"/>
              </w:rPr>
              <w:t>黄灌区×WSI=1.8</w:t>
            </w:r>
          </w:p>
        </w:tc>
      </w:tr>
      <w:tr w14:paraId="1D242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4A31E15A">
            <w:pPr>
              <w:pStyle w:val="182"/>
            </w:pPr>
            <w:r>
              <w:rPr>
                <w:rFonts w:hAnsi="宋体" w:cs="Segoe UI"/>
                <w:color w:val="000000"/>
                <w:szCs w:val="18"/>
                <w:lang w:bidi="ar"/>
              </w:rPr>
              <w:t>冲洗水COD浓度</w:t>
            </w:r>
          </w:p>
        </w:tc>
        <w:tc>
          <w:tcPr>
            <w:tcW w:w="491" w:type="pct"/>
            <w:vAlign w:val="center"/>
          </w:tcPr>
          <w:p w14:paraId="769F0CCA">
            <w:pPr>
              <w:pStyle w:val="182"/>
            </w:pPr>
            <w:r>
              <w:rPr>
                <w:rFonts w:hAnsi="宋体" w:cs="Segoe UI"/>
                <w:color w:val="000000"/>
                <w:szCs w:val="18"/>
                <w:lang w:bidi="ar"/>
              </w:rPr>
              <w:t>mg/L</w:t>
            </w:r>
          </w:p>
        </w:tc>
        <w:tc>
          <w:tcPr>
            <w:tcW w:w="437" w:type="pct"/>
            <w:vAlign w:val="center"/>
          </w:tcPr>
          <w:p w14:paraId="4EBA8C15">
            <w:pPr>
              <w:pStyle w:val="182"/>
            </w:pPr>
          </w:p>
        </w:tc>
        <w:tc>
          <w:tcPr>
            <w:tcW w:w="653" w:type="pct"/>
            <w:vAlign w:val="center"/>
          </w:tcPr>
          <w:p w14:paraId="659CCE47">
            <w:pPr>
              <w:pStyle w:val="182"/>
            </w:pPr>
            <w:r>
              <w:rPr>
                <w:rFonts w:hAnsi="宋体" w:cs="Segoe UI"/>
                <w:color w:val="000000"/>
                <w:szCs w:val="18"/>
                <w:lang w:bidi="ar"/>
              </w:rPr>
              <w:t>在线监测仪</w:t>
            </w:r>
          </w:p>
        </w:tc>
        <w:tc>
          <w:tcPr>
            <w:tcW w:w="1353" w:type="pct"/>
            <w:vAlign w:val="center"/>
          </w:tcPr>
          <w:p w14:paraId="4BA27307">
            <w:pPr>
              <w:pStyle w:val="182"/>
            </w:pPr>
            <w:r>
              <w:rPr>
                <w:rFonts w:hAnsi="宋体" w:cs="Segoe UI"/>
                <w:color w:val="000000"/>
                <w:szCs w:val="18"/>
                <w:lang w:bidi="ar"/>
              </w:rPr>
              <w:t>每小时均值</w:t>
            </w:r>
          </w:p>
        </w:tc>
        <w:tc>
          <w:tcPr>
            <w:tcW w:w="1195" w:type="pct"/>
            <w:vAlign w:val="center"/>
          </w:tcPr>
          <w:p w14:paraId="3223A956">
            <w:pPr>
              <w:pStyle w:val="182"/>
            </w:pPr>
            <w:r>
              <w:rPr>
                <w:rFonts w:hAnsi="宋体" w:cs="Segoe UI"/>
                <w:color w:val="000000"/>
                <w:szCs w:val="18"/>
                <w:lang w:bidi="ar"/>
              </w:rPr>
              <w:t>—</w:t>
            </w:r>
          </w:p>
        </w:tc>
      </w:tr>
      <w:tr w14:paraId="158B5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0E1CB2BA">
            <w:pPr>
              <w:pStyle w:val="182"/>
            </w:pPr>
            <w:r>
              <w:rPr>
                <w:rFonts w:hAnsi="宋体" w:cs="Segoe UI"/>
                <w:color w:val="000000"/>
                <w:szCs w:val="18"/>
                <w:lang w:bidi="ar"/>
              </w:rPr>
              <w:t>BOD</w:t>
            </w:r>
            <w:r>
              <w:rPr>
                <w:rFonts w:ascii="Cambria Math" w:hAnsi="Cambria Math" w:cs="Cambria Math"/>
                <w:color w:val="000000"/>
                <w:szCs w:val="18"/>
                <w:lang w:bidi="ar"/>
              </w:rPr>
              <w:t>₅</w:t>
            </w:r>
          </w:p>
        </w:tc>
        <w:tc>
          <w:tcPr>
            <w:tcW w:w="491" w:type="pct"/>
            <w:vAlign w:val="center"/>
          </w:tcPr>
          <w:p w14:paraId="7E014390">
            <w:pPr>
              <w:pStyle w:val="182"/>
            </w:pPr>
            <w:r>
              <w:rPr>
                <w:rFonts w:hAnsi="宋体" w:cs="Segoe UI"/>
                <w:color w:val="000000"/>
                <w:szCs w:val="18"/>
                <w:lang w:bidi="ar"/>
              </w:rPr>
              <w:t>mg/L</w:t>
            </w:r>
          </w:p>
        </w:tc>
        <w:tc>
          <w:tcPr>
            <w:tcW w:w="437" w:type="pct"/>
            <w:vAlign w:val="center"/>
          </w:tcPr>
          <w:p w14:paraId="1189DBC8">
            <w:pPr>
              <w:pStyle w:val="182"/>
            </w:pPr>
          </w:p>
        </w:tc>
        <w:tc>
          <w:tcPr>
            <w:tcW w:w="653" w:type="pct"/>
            <w:vAlign w:val="center"/>
          </w:tcPr>
          <w:p w14:paraId="70C153DB">
            <w:pPr>
              <w:pStyle w:val="182"/>
            </w:pPr>
            <w:r>
              <w:rPr>
                <w:rFonts w:hAnsi="宋体" w:cs="Segoe UI"/>
                <w:color w:val="000000"/>
                <w:szCs w:val="18"/>
                <w:lang w:bidi="ar"/>
              </w:rPr>
              <w:t>实验室检测</w:t>
            </w:r>
          </w:p>
        </w:tc>
        <w:tc>
          <w:tcPr>
            <w:tcW w:w="1353" w:type="pct"/>
            <w:vAlign w:val="center"/>
          </w:tcPr>
          <w:p w14:paraId="43BAEE59">
            <w:pPr>
              <w:pStyle w:val="182"/>
            </w:pPr>
            <w:r>
              <w:rPr>
                <w:rFonts w:hAnsi="宋体" w:cs="Segoe UI"/>
                <w:color w:val="000000"/>
                <w:szCs w:val="18"/>
                <w:lang w:bidi="ar"/>
              </w:rPr>
              <w:t>HJ 505</w:t>
            </w:r>
          </w:p>
        </w:tc>
        <w:tc>
          <w:tcPr>
            <w:tcW w:w="1195" w:type="pct"/>
            <w:vAlign w:val="center"/>
          </w:tcPr>
          <w:p w14:paraId="7556947C">
            <w:pPr>
              <w:pStyle w:val="182"/>
            </w:pPr>
            <w:r>
              <w:rPr>
                <w:rFonts w:hAnsi="宋体" w:cs="Segoe UI"/>
                <w:color w:val="000000"/>
                <w:szCs w:val="18"/>
                <w:lang w:bidi="ar"/>
              </w:rPr>
              <w:t>—</w:t>
            </w:r>
          </w:p>
        </w:tc>
      </w:tr>
      <w:tr w14:paraId="6F900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1D75E360">
            <w:pPr>
              <w:pStyle w:val="182"/>
            </w:pPr>
            <w:r>
              <w:rPr>
                <w:rFonts w:hAnsi="宋体" w:cs="Segoe UI"/>
                <w:color w:val="000000"/>
                <w:szCs w:val="18"/>
                <w:lang w:bidi="ar"/>
              </w:rPr>
              <w:t>粪污管理</w:t>
            </w:r>
          </w:p>
        </w:tc>
        <w:tc>
          <w:tcPr>
            <w:tcW w:w="491" w:type="pct"/>
            <w:vAlign w:val="center"/>
          </w:tcPr>
          <w:p w14:paraId="4EA0AA59">
            <w:pPr>
              <w:pStyle w:val="182"/>
            </w:pPr>
          </w:p>
        </w:tc>
        <w:tc>
          <w:tcPr>
            <w:tcW w:w="437" w:type="pct"/>
            <w:vAlign w:val="center"/>
          </w:tcPr>
          <w:p w14:paraId="04B3F552">
            <w:pPr>
              <w:pStyle w:val="182"/>
            </w:pPr>
          </w:p>
        </w:tc>
        <w:tc>
          <w:tcPr>
            <w:tcW w:w="653" w:type="pct"/>
            <w:vAlign w:val="center"/>
          </w:tcPr>
          <w:p w14:paraId="06D70E3A">
            <w:pPr>
              <w:pStyle w:val="182"/>
            </w:pPr>
          </w:p>
        </w:tc>
        <w:tc>
          <w:tcPr>
            <w:tcW w:w="1353" w:type="pct"/>
            <w:vAlign w:val="center"/>
          </w:tcPr>
          <w:p w14:paraId="03498CD5">
            <w:pPr>
              <w:pStyle w:val="182"/>
            </w:pPr>
          </w:p>
        </w:tc>
        <w:tc>
          <w:tcPr>
            <w:tcW w:w="1195" w:type="pct"/>
            <w:vAlign w:val="center"/>
          </w:tcPr>
          <w:p w14:paraId="37AC7EFA">
            <w:pPr>
              <w:pStyle w:val="182"/>
            </w:pPr>
          </w:p>
        </w:tc>
      </w:tr>
      <w:tr w14:paraId="476CE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047A88D1">
            <w:pPr>
              <w:pStyle w:val="182"/>
            </w:pPr>
            <w:r>
              <w:rPr>
                <w:rFonts w:hAnsi="宋体" w:cs="Segoe UI"/>
                <w:color w:val="000000"/>
                <w:szCs w:val="18"/>
                <w:lang w:bidi="ar"/>
              </w:rPr>
              <w:t>粪便总氮含量</w:t>
            </w:r>
          </w:p>
        </w:tc>
        <w:tc>
          <w:tcPr>
            <w:tcW w:w="491" w:type="pct"/>
            <w:vAlign w:val="center"/>
          </w:tcPr>
          <w:p w14:paraId="6BDF6D66">
            <w:pPr>
              <w:pStyle w:val="182"/>
            </w:pPr>
            <w:r>
              <w:rPr>
                <w:rFonts w:hAnsi="宋体" w:cs="Segoe UI"/>
                <w:color w:val="000000"/>
                <w:szCs w:val="18"/>
                <w:lang w:bidi="ar"/>
              </w:rPr>
              <w:t>%</w:t>
            </w:r>
          </w:p>
        </w:tc>
        <w:tc>
          <w:tcPr>
            <w:tcW w:w="437" w:type="pct"/>
            <w:vAlign w:val="center"/>
          </w:tcPr>
          <w:p w14:paraId="7574DA16">
            <w:pPr>
              <w:pStyle w:val="182"/>
            </w:pPr>
          </w:p>
        </w:tc>
        <w:tc>
          <w:tcPr>
            <w:tcW w:w="653" w:type="pct"/>
            <w:vAlign w:val="center"/>
          </w:tcPr>
          <w:p w14:paraId="1EDF7DE6">
            <w:pPr>
              <w:pStyle w:val="182"/>
            </w:pPr>
            <w:r>
              <w:rPr>
                <w:rFonts w:hAnsi="宋体" w:cs="Segoe UI"/>
                <w:color w:val="000000"/>
                <w:szCs w:val="18"/>
                <w:lang w:bidi="ar"/>
              </w:rPr>
              <w:t>实验室检测</w:t>
            </w:r>
          </w:p>
        </w:tc>
        <w:tc>
          <w:tcPr>
            <w:tcW w:w="1353" w:type="pct"/>
            <w:vAlign w:val="center"/>
          </w:tcPr>
          <w:p w14:paraId="7EED966D">
            <w:pPr>
              <w:pStyle w:val="182"/>
            </w:pPr>
            <w:r>
              <w:rPr>
                <w:rFonts w:hAnsi="宋体" w:cs="Segoe UI"/>
                <w:color w:val="000000"/>
                <w:szCs w:val="18"/>
                <w:lang w:bidi="ar"/>
              </w:rPr>
              <w:t>GB/T 6432</w:t>
            </w:r>
          </w:p>
        </w:tc>
        <w:tc>
          <w:tcPr>
            <w:tcW w:w="1195" w:type="pct"/>
            <w:vAlign w:val="center"/>
          </w:tcPr>
          <w:p w14:paraId="7BB0C470">
            <w:pPr>
              <w:pStyle w:val="182"/>
            </w:pPr>
            <w:r>
              <w:rPr>
                <w:rFonts w:hAnsi="宋体" w:cs="Segoe UI"/>
                <w:color w:val="000000"/>
                <w:szCs w:val="18"/>
                <w:lang w:bidi="ar"/>
              </w:rPr>
              <w:t>厌氧消化×0.93</w:t>
            </w:r>
          </w:p>
        </w:tc>
      </w:tr>
      <w:tr w14:paraId="6F0A0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389F2610">
            <w:pPr>
              <w:pStyle w:val="182"/>
            </w:pPr>
            <w:r>
              <w:rPr>
                <w:rFonts w:hAnsi="宋体" w:cs="Segoe UI"/>
                <w:color w:val="000000"/>
                <w:szCs w:val="18"/>
                <w:lang w:bidi="ar"/>
              </w:rPr>
              <w:t>固液分离率</w:t>
            </w:r>
          </w:p>
        </w:tc>
        <w:tc>
          <w:tcPr>
            <w:tcW w:w="491" w:type="pct"/>
            <w:vAlign w:val="center"/>
          </w:tcPr>
          <w:p w14:paraId="4C8400B0">
            <w:pPr>
              <w:pStyle w:val="182"/>
            </w:pPr>
            <w:r>
              <w:rPr>
                <w:rFonts w:hAnsi="宋体" w:cs="Segoe UI"/>
                <w:color w:val="000000"/>
                <w:szCs w:val="18"/>
                <w:lang w:bidi="ar"/>
              </w:rPr>
              <w:t>%</w:t>
            </w:r>
          </w:p>
        </w:tc>
        <w:tc>
          <w:tcPr>
            <w:tcW w:w="437" w:type="pct"/>
            <w:vAlign w:val="center"/>
          </w:tcPr>
          <w:p w14:paraId="7F1B47B6">
            <w:pPr>
              <w:pStyle w:val="182"/>
            </w:pPr>
          </w:p>
        </w:tc>
        <w:tc>
          <w:tcPr>
            <w:tcW w:w="653" w:type="pct"/>
            <w:vAlign w:val="center"/>
          </w:tcPr>
          <w:p w14:paraId="549B00E9">
            <w:pPr>
              <w:pStyle w:val="182"/>
            </w:pPr>
            <w:r>
              <w:rPr>
                <w:rFonts w:hAnsi="宋体" w:cs="Segoe UI"/>
                <w:color w:val="000000"/>
                <w:szCs w:val="18"/>
                <w:lang w:bidi="ar"/>
              </w:rPr>
              <w:t>运行日志</w:t>
            </w:r>
          </w:p>
        </w:tc>
        <w:tc>
          <w:tcPr>
            <w:tcW w:w="1353" w:type="pct"/>
            <w:vAlign w:val="center"/>
          </w:tcPr>
          <w:p w14:paraId="597EC4C8">
            <w:pPr>
              <w:pStyle w:val="182"/>
            </w:pPr>
            <w:r>
              <w:rPr>
                <w:rFonts w:hAnsi="宋体" w:cs="Segoe UI"/>
                <w:color w:val="000000"/>
                <w:szCs w:val="18"/>
                <w:lang w:bidi="ar"/>
              </w:rPr>
              <w:t>固形物占比</w:t>
            </w:r>
          </w:p>
        </w:tc>
        <w:tc>
          <w:tcPr>
            <w:tcW w:w="1195" w:type="pct"/>
            <w:vAlign w:val="center"/>
          </w:tcPr>
          <w:p w14:paraId="6F501A33">
            <w:pPr>
              <w:pStyle w:val="182"/>
            </w:pPr>
            <w:r>
              <w:rPr>
                <w:rFonts w:hAnsi="宋体" w:cs="Segoe UI"/>
                <w:color w:val="000000"/>
                <w:szCs w:val="18"/>
                <w:lang w:bidi="ar"/>
              </w:rPr>
              <w:t>极寒日(-25℃)×0.7</w:t>
            </w:r>
          </w:p>
        </w:tc>
      </w:tr>
      <w:tr w14:paraId="698CF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6E8D32E8">
            <w:pPr>
              <w:pStyle w:val="182"/>
            </w:pPr>
            <w:r>
              <w:rPr>
                <w:rFonts w:hAnsi="宋体" w:cs="Segoe UI"/>
                <w:color w:val="000000"/>
                <w:szCs w:val="18"/>
                <w:lang w:bidi="ar"/>
              </w:rPr>
              <w:t>堆肥翻抛氧浓度</w:t>
            </w:r>
          </w:p>
        </w:tc>
        <w:tc>
          <w:tcPr>
            <w:tcW w:w="491" w:type="pct"/>
            <w:vAlign w:val="center"/>
          </w:tcPr>
          <w:p w14:paraId="39E6D95B">
            <w:pPr>
              <w:pStyle w:val="182"/>
            </w:pPr>
            <w:r>
              <w:rPr>
                <w:rFonts w:hAnsi="宋体" w:cs="Segoe UI"/>
                <w:color w:val="000000"/>
                <w:szCs w:val="18"/>
                <w:lang w:bidi="ar"/>
              </w:rPr>
              <w:t>%</w:t>
            </w:r>
          </w:p>
        </w:tc>
        <w:tc>
          <w:tcPr>
            <w:tcW w:w="437" w:type="pct"/>
            <w:vAlign w:val="center"/>
          </w:tcPr>
          <w:p w14:paraId="682D4143">
            <w:pPr>
              <w:pStyle w:val="182"/>
            </w:pPr>
          </w:p>
        </w:tc>
        <w:tc>
          <w:tcPr>
            <w:tcW w:w="653" w:type="pct"/>
            <w:vAlign w:val="center"/>
          </w:tcPr>
          <w:p w14:paraId="2B2D92F0">
            <w:pPr>
              <w:pStyle w:val="182"/>
            </w:pPr>
            <w:r>
              <w:rPr>
                <w:rFonts w:hAnsi="宋体" w:cs="Segoe UI"/>
                <w:color w:val="000000"/>
                <w:szCs w:val="18"/>
                <w:lang w:bidi="ar"/>
              </w:rPr>
              <w:t>便携式氧仪</w:t>
            </w:r>
          </w:p>
        </w:tc>
        <w:tc>
          <w:tcPr>
            <w:tcW w:w="1353" w:type="pct"/>
            <w:vAlign w:val="center"/>
          </w:tcPr>
          <w:p w14:paraId="0E6AD4BC">
            <w:pPr>
              <w:pStyle w:val="182"/>
            </w:pPr>
            <w:r>
              <w:rPr>
                <w:rFonts w:hAnsi="宋体" w:cs="Segoe UI"/>
                <w:color w:val="000000"/>
                <w:szCs w:val="18"/>
                <w:lang w:bidi="ar"/>
              </w:rPr>
              <w:t>≥5%</w:t>
            </w:r>
          </w:p>
        </w:tc>
        <w:tc>
          <w:tcPr>
            <w:tcW w:w="1195" w:type="pct"/>
            <w:vAlign w:val="center"/>
          </w:tcPr>
          <w:p w14:paraId="336FF814">
            <w:pPr>
              <w:pStyle w:val="182"/>
            </w:pPr>
            <w:r>
              <w:rPr>
                <w:rFonts w:hAnsi="宋体" w:cs="Segoe UI"/>
                <w:color w:val="000000"/>
                <w:szCs w:val="18"/>
                <w:lang w:bidi="ar"/>
              </w:rPr>
              <w:t>—</w:t>
            </w:r>
          </w:p>
        </w:tc>
      </w:tr>
      <w:tr w14:paraId="23C55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5F1BA9B4">
            <w:pPr>
              <w:pStyle w:val="182"/>
            </w:pPr>
            <w:r>
              <w:rPr>
                <w:rFonts w:hAnsi="宋体" w:cs="Segoe UI"/>
                <w:color w:val="000000"/>
                <w:szCs w:val="18"/>
                <w:lang w:bidi="ar"/>
              </w:rPr>
              <w:t>堆肥翻抛频率</w:t>
            </w:r>
          </w:p>
        </w:tc>
        <w:tc>
          <w:tcPr>
            <w:tcW w:w="491" w:type="pct"/>
            <w:vAlign w:val="center"/>
          </w:tcPr>
          <w:p w14:paraId="434A456B">
            <w:pPr>
              <w:pStyle w:val="182"/>
            </w:pPr>
            <w:r>
              <w:rPr>
                <w:rFonts w:hAnsi="宋体" w:cs="Segoe UI"/>
                <w:color w:val="000000"/>
                <w:szCs w:val="18"/>
                <w:lang w:bidi="ar"/>
              </w:rPr>
              <w:t>次/周</w:t>
            </w:r>
          </w:p>
        </w:tc>
        <w:tc>
          <w:tcPr>
            <w:tcW w:w="437" w:type="pct"/>
            <w:vAlign w:val="center"/>
          </w:tcPr>
          <w:p w14:paraId="1355EA59">
            <w:pPr>
              <w:pStyle w:val="182"/>
            </w:pPr>
          </w:p>
        </w:tc>
        <w:tc>
          <w:tcPr>
            <w:tcW w:w="653" w:type="pct"/>
            <w:vAlign w:val="center"/>
          </w:tcPr>
          <w:p w14:paraId="620C0EF4">
            <w:pPr>
              <w:pStyle w:val="182"/>
            </w:pPr>
            <w:r>
              <w:rPr>
                <w:rFonts w:hAnsi="宋体" w:cs="Segoe UI"/>
                <w:color w:val="000000"/>
                <w:szCs w:val="18"/>
                <w:lang w:bidi="ar"/>
              </w:rPr>
              <w:t>操作记录</w:t>
            </w:r>
          </w:p>
        </w:tc>
        <w:tc>
          <w:tcPr>
            <w:tcW w:w="1353" w:type="pct"/>
            <w:vAlign w:val="center"/>
          </w:tcPr>
          <w:p w14:paraId="03A69072">
            <w:pPr>
              <w:pStyle w:val="182"/>
            </w:pPr>
            <w:r>
              <w:rPr>
                <w:rFonts w:hAnsi="宋体" w:cs="Segoe UI"/>
                <w:color w:val="000000"/>
                <w:szCs w:val="18"/>
                <w:lang w:bidi="ar"/>
              </w:rPr>
              <w:t>周计划表</w:t>
            </w:r>
          </w:p>
        </w:tc>
        <w:tc>
          <w:tcPr>
            <w:tcW w:w="1195" w:type="pct"/>
            <w:vAlign w:val="center"/>
          </w:tcPr>
          <w:p w14:paraId="280004D0">
            <w:pPr>
              <w:pStyle w:val="182"/>
            </w:pPr>
            <w:r>
              <w:rPr>
                <w:rFonts w:hAnsi="宋体" w:cs="Segoe UI"/>
                <w:color w:val="000000"/>
                <w:szCs w:val="18"/>
                <w:lang w:bidi="ar"/>
              </w:rPr>
              <w:t>冬季≥4次/周</w:t>
            </w:r>
          </w:p>
        </w:tc>
      </w:tr>
      <w:tr w14:paraId="70704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64AD9131">
            <w:pPr>
              <w:pStyle w:val="182"/>
            </w:pPr>
            <w:r>
              <w:rPr>
                <w:rFonts w:hAnsi="宋体" w:cs="Segoe UI"/>
                <w:color w:val="000000"/>
                <w:szCs w:val="18"/>
                <w:lang w:bidi="ar"/>
              </w:rPr>
              <w:t>厌氧池COD去除率</w:t>
            </w:r>
          </w:p>
        </w:tc>
        <w:tc>
          <w:tcPr>
            <w:tcW w:w="491" w:type="pct"/>
            <w:vAlign w:val="center"/>
          </w:tcPr>
          <w:p w14:paraId="71A7E1B6">
            <w:pPr>
              <w:pStyle w:val="182"/>
            </w:pPr>
            <w:r>
              <w:rPr>
                <w:rFonts w:hAnsi="宋体" w:cs="Segoe UI"/>
                <w:color w:val="000000"/>
                <w:szCs w:val="18"/>
                <w:lang w:bidi="ar"/>
              </w:rPr>
              <w:t>%</w:t>
            </w:r>
          </w:p>
        </w:tc>
        <w:tc>
          <w:tcPr>
            <w:tcW w:w="437" w:type="pct"/>
            <w:vAlign w:val="center"/>
          </w:tcPr>
          <w:p w14:paraId="508AE5F2">
            <w:pPr>
              <w:pStyle w:val="182"/>
            </w:pPr>
          </w:p>
        </w:tc>
        <w:tc>
          <w:tcPr>
            <w:tcW w:w="653" w:type="pct"/>
            <w:vAlign w:val="center"/>
          </w:tcPr>
          <w:p w14:paraId="7BA4653A">
            <w:pPr>
              <w:pStyle w:val="182"/>
            </w:pPr>
            <w:r>
              <w:rPr>
                <w:rFonts w:hAnsi="宋体" w:cs="Segoe UI"/>
                <w:color w:val="000000"/>
                <w:szCs w:val="18"/>
                <w:lang w:bidi="ar"/>
              </w:rPr>
              <w:t>进出水检测</w:t>
            </w:r>
          </w:p>
        </w:tc>
        <w:tc>
          <w:tcPr>
            <w:tcW w:w="1353" w:type="pct"/>
            <w:vAlign w:val="center"/>
          </w:tcPr>
          <w:p w14:paraId="6CCC6CFC">
            <w:pPr>
              <w:pStyle w:val="182"/>
            </w:pPr>
            <w:r>
              <w:rPr>
                <w:rFonts w:hAnsi="宋体" w:cs="Segoe UI"/>
                <w:color w:val="000000"/>
                <w:szCs w:val="18"/>
                <w:lang w:bidi="ar"/>
              </w:rPr>
              <w:t>HJ 828</w:t>
            </w:r>
          </w:p>
        </w:tc>
        <w:tc>
          <w:tcPr>
            <w:tcW w:w="1195" w:type="pct"/>
            <w:vAlign w:val="center"/>
          </w:tcPr>
          <w:p w14:paraId="797DF6C1">
            <w:pPr>
              <w:pStyle w:val="182"/>
            </w:pPr>
            <w:r>
              <w:rPr>
                <w:rFonts w:hAnsi="宋体" w:cs="Segoe UI"/>
                <w:color w:val="000000"/>
                <w:szCs w:val="18"/>
                <w:lang w:bidi="ar"/>
              </w:rPr>
              <w:t>—</w:t>
            </w:r>
          </w:p>
        </w:tc>
      </w:tr>
      <w:tr w14:paraId="72D19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1ED457B1">
            <w:pPr>
              <w:pStyle w:val="182"/>
            </w:pPr>
            <w:r>
              <w:rPr>
                <w:rFonts w:hAnsi="宋体" w:cs="Segoe UI"/>
                <w:color w:val="000000"/>
                <w:szCs w:val="18"/>
                <w:lang w:bidi="ar"/>
              </w:rPr>
              <w:t>原奶处理</w:t>
            </w:r>
          </w:p>
        </w:tc>
        <w:tc>
          <w:tcPr>
            <w:tcW w:w="491" w:type="pct"/>
            <w:vAlign w:val="center"/>
          </w:tcPr>
          <w:p w14:paraId="5334EBDB">
            <w:pPr>
              <w:pStyle w:val="182"/>
            </w:pPr>
          </w:p>
        </w:tc>
        <w:tc>
          <w:tcPr>
            <w:tcW w:w="437" w:type="pct"/>
            <w:vAlign w:val="center"/>
          </w:tcPr>
          <w:p w14:paraId="30490022">
            <w:pPr>
              <w:pStyle w:val="182"/>
            </w:pPr>
          </w:p>
        </w:tc>
        <w:tc>
          <w:tcPr>
            <w:tcW w:w="653" w:type="pct"/>
            <w:vAlign w:val="center"/>
          </w:tcPr>
          <w:p w14:paraId="7B96EE71">
            <w:pPr>
              <w:pStyle w:val="182"/>
            </w:pPr>
          </w:p>
        </w:tc>
        <w:tc>
          <w:tcPr>
            <w:tcW w:w="1353" w:type="pct"/>
            <w:vAlign w:val="center"/>
          </w:tcPr>
          <w:p w14:paraId="684659F0">
            <w:pPr>
              <w:pStyle w:val="182"/>
            </w:pPr>
          </w:p>
        </w:tc>
        <w:tc>
          <w:tcPr>
            <w:tcW w:w="1195" w:type="pct"/>
            <w:vAlign w:val="center"/>
          </w:tcPr>
          <w:p w14:paraId="6DF533D0">
            <w:pPr>
              <w:pStyle w:val="182"/>
            </w:pPr>
          </w:p>
        </w:tc>
      </w:tr>
      <w:tr w14:paraId="46B25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6D37AF66">
            <w:pPr>
              <w:pStyle w:val="182"/>
            </w:pPr>
            <w:r>
              <w:rPr>
                <w:rFonts w:hAnsi="宋体" w:cs="Segoe UI"/>
                <w:color w:val="000000"/>
                <w:szCs w:val="18"/>
                <w:lang w:bidi="ar"/>
              </w:rPr>
              <w:t>冷藏罐日均耗电量</w:t>
            </w:r>
          </w:p>
        </w:tc>
        <w:tc>
          <w:tcPr>
            <w:tcW w:w="491" w:type="pct"/>
            <w:vAlign w:val="center"/>
          </w:tcPr>
          <w:p w14:paraId="0C50D6DE">
            <w:pPr>
              <w:pStyle w:val="182"/>
            </w:pPr>
            <w:r>
              <w:rPr>
                <w:rFonts w:hAnsi="宋体" w:cs="Segoe UI"/>
                <w:color w:val="000000"/>
                <w:szCs w:val="18"/>
                <w:lang w:bidi="ar"/>
              </w:rPr>
              <w:t>kWh/m</w:t>
            </w:r>
            <w:r>
              <w:rPr>
                <w:rFonts w:hint="eastAsia" w:hAnsi="宋体"/>
                <w:szCs w:val="18"/>
                <w:vertAlign w:val="superscript"/>
              </w:rPr>
              <w:t>3</w:t>
            </w:r>
          </w:p>
        </w:tc>
        <w:tc>
          <w:tcPr>
            <w:tcW w:w="437" w:type="pct"/>
            <w:vAlign w:val="center"/>
          </w:tcPr>
          <w:p w14:paraId="144FAB0A">
            <w:pPr>
              <w:pStyle w:val="182"/>
            </w:pPr>
          </w:p>
        </w:tc>
        <w:tc>
          <w:tcPr>
            <w:tcW w:w="653" w:type="pct"/>
            <w:vAlign w:val="center"/>
          </w:tcPr>
          <w:p w14:paraId="4F614E70">
            <w:pPr>
              <w:pStyle w:val="182"/>
            </w:pPr>
            <w:r>
              <w:rPr>
                <w:rFonts w:hAnsi="宋体" w:cs="Segoe UI"/>
                <w:color w:val="000000"/>
                <w:szCs w:val="18"/>
                <w:lang w:bidi="ar"/>
              </w:rPr>
              <w:t>电表读数</w:t>
            </w:r>
          </w:p>
        </w:tc>
        <w:tc>
          <w:tcPr>
            <w:tcW w:w="1353" w:type="pct"/>
            <w:vAlign w:val="center"/>
          </w:tcPr>
          <w:p w14:paraId="630AF42E">
            <w:pPr>
              <w:pStyle w:val="182"/>
            </w:pPr>
            <w:r>
              <w:rPr>
                <w:rFonts w:hAnsi="宋体" w:cs="Segoe UI"/>
                <w:color w:val="000000"/>
                <w:szCs w:val="18"/>
                <w:lang w:bidi="ar"/>
              </w:rPr>
              <w:t>分项计量</w:t>
            </w:r>
          </w:p>
        </w:tc>
        <w:tc>
          <w:tcPr>
            <w:tcW w:w="1195" w:type="pct"/>
            <w:vAlign w:val="center"/>
          </w:tcPr>
          <w:p w14:paraId="36466C37">
            <w:pPr>
              <w:pStyle w:val="182"/>
            </w:pPr>
            <w:r>
              <w:rPr>
                <w:rFonts w:hAnsi="宋体" w:cs="Segoe UI"/>
                <w:color w:val="000000"/>
                <w:szCs w:val="18"/>
                <w:lang w:bidi="ar"/>
              </w:rPr>
              <w:t>—</w:t>
            </w:r>
          </w:p>
        </w:tc>
      </w:tr>
      <w:tr w14:paraId="104A8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4388627A">
            <w:pPr>
              <w:pStyle w:val="182"/>
            </w:pPr>
            <w:r>
              <w:rPr>
                <w:rFonts w:hAnsi="宋体" w:cs="Segoe UI"/>
                <w:color w:val="000000"/>
                <w:szCs w:val="18"/>
                <w:lang w:bidi="ar"/>
              </w:rPr>
              <w:t>压缩机功率</w:t>
            </w:r>
          </w:p>
        </w:tc>
        <w:tc>
          <w:tcPr>
            <w:tcW w:w="491" w:type="pct"/>
            <w:vAlign w:val="center"/>
          </w:tcPr>
          <w:p w14:paraId="6236BA82">
            <w:pPr>
              <w:pStyle w:val="182"/>
            </w:pPr>
            <w:r>
              <w:rPr>
                <w:rFonts w:hAnsi="宋体" w:cs="Segoe UI"/>
                <w:color w:val="000000"/>
                <w:szCs w:val="18"/>
                <w:lang w:bidi="ar"/>
              </w:rPr>
              <w:t>kW</w:t>
            </w:r>
          </w:p>
        </w:tc>
        <w:tc>
          <w:tcPr>
            <w:tcW w:w="437" w:type="pct"/>
            <w:vAlign w:val="center"/>
          </w:tcPr>
          <w:p w14:paraId="689E0569">
            <w:pPr>
              <w:pStyle w:val="182"/>
            </w:pPr>
          </w:p>
        </w:tc>
        <w:tc>
          <w:tcPr>
            <w:tcW w:w="653" w:type="pct"/>
            <w:vAlign w:val="center"/>
          </w:tcPr>
          <w:p w14:paraId="11427479">
            <w:pPr>
              <w:pStyle w:val="182"/>
            </w:pPr>
            <w:r>
              <w:rPr>
                <w:rFonts w:hAnsi="宋体" w:cs="Segoe UI"/>
                <w:color w:val="000000"/>
                <w:szCs w:val="18"/>
                <w:lang w:bidi="ar"/>
              </w:rPr>
              <w:t>设备铭牌</w:t>
            </w:r>
          </w:p>
        </w:tc>
        <w:tc>
          <w:tcPr>
            <w:tcW w:w="1353" w:type="pct"/>
            <w:vAlign w:val="center"/>
          </w:tcPr>
          <w:p w14:paraId="3D7B0BF1">
            <w:pPr>
              <w:pStyle w:val="182"/>
            </w:pPr>
            <w:r>
              <w:rPr>
                <w:rFonts w:hAnsi="宋体" w:cs="Segoe UI"/>
                <w:color w:val="000000"/>
                <w:szCs w:val="18"/>
                <w:lang w:bidi="ar"/>
              </w:rPr>
              <w:t>—</w:t>
            </w:r>
          </w:p>
        </w:tc>
        <w:tc>
          <w:tcPr>
            <w:tcW w:w="1195" w:type="pct"/>
            <w:vAlign w:val="center"/>
          </w:tcPr>
          <w:p w14:paraId="3485E90E">
            <w:pPr>
              <w:pStyle w:val="182"/>
            </w:pPr>
            <w:r>
              <w:rPr>
                <w:rFonts w:hAnsi="宋体" w:cs="Segoe UI"/>
                <w:color w:val="000000"/>
                <w:szCs w:val="18"/>
                <w:lang w:bidi="ar"/>
              </w:rPr>
              <w:t>—</w:t>
            </w:r>
          </w:p>
        </w:tc>
      </w:tr>
      <w:tr w14:paraId="55A7A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159134DB">
            <w:pPr>
              <w:pStyle w:val="182"/>
            </w:pPr>
            <w:r>
              <w:rPr>
                <w:rFonts w:hAnsi="宋体" w:cs="Segoe UI"/>
                <w:color w:val="000000"/>
                <w:szCs w:val="18"/>
                <w:lang w:bidi="ar"/>
              </w:rPr>
              <w:t>日均启停次数</w:t>
            </w:r>
          </w:p>
        </w:tc>
        <w:tc>
          <w:tcPr>
            <w:tcW w:w="491" w:type="pct"/>
            <w:vAlign w:val="center"/>
          </w:tcPr>
          <w:p w14:paraId="7EA56775">
            <w:pPr>
              <w:pStyle w:val="182"/>
            </w:pPr>
            <w:r>
              <w:rPr>
                <w:rFonts w:hAnsi="宋体" w:cs="Segoe UI"/>
                <w:color w:val="000000"/>
                <w:szCs w:val="18"/>
                <w:lang w:bidi="ar"/>
              </w:rPr>
              <w:t>次/天</w:t>
            </w:r>
          </w:p>
        </w:tc>
        <w:tc>
          <w:tcPr>
            <w:tcW w:w="437" w:type="pct"/>
            <w:vAlign w:val="center"/>
          </w:tcPr>
          <w:p w14:paraId="2A7EF2A9">
            <w:pPr>
              <w:pStyle w:val="182"/>
            </w:pPr>
          </w:p>
        </w:tc>
        <w:tc>
          <w:tcPr>
            <w:tcW w:w="653" w:type="pct"/>
            <w:vAlign w:val="center"/>
          </w:tcPr>
          <w:p w14:paraId="632FFA4F">
            <w:pPr>
              <w:pStyle w:val="182"/>
            </w:pPr>
            <w:r>
              <w:rPr>
                <w:rFonts w:hAnsi="宋体" w:cs="Segoe UI"/>
                <w:color w:val="000000"/>
                <w:szCs w:val="18"/>
                <w:lang w:bidi="ar"/>
              </w:rPr>
              <w:t>PLC系统</w:t>
            </w:r>
          </w:p>
        </w:tc>
        <w:tc>
          <w:tcPr>
            <w:tcW w:w="1353" w:type="pct"/>
            <w:vAlign w:val="center"/>
          </w:tcPr>
          <w:p w14:paraId="42A29C63">
            <w:pPr>
              <w:pStyle w:val="182"/>
            </w:pPr>
            <w:r>
              <w:rPr>
                <w:rFonts w:hAnsi="宋体" w:cs="Segoe UI"/>
                <w:color w:val="000000"/>
                <w:szCs w:val="18"/>
                <w:lang w:bidi="ar"/>
              </w:rPr>
              <w:t>24小时记录</w:t>
            </w:r>
          </w:p>
        </w:tc>
        <w:tc>
          <w:tcPr>
            <w:tcW w:w="1195" w:type="pct"/>
            <w:vAlign w:val="center"/>
          </w:tcPr>
          <w:p w14:paraId="73566D2F">
            <w:pPr>
              <w:pStyle w:val="182"/>
            </w:pPr>
            <w:r>
              <w:rPr>
                <w:rFonts w:hAnsi="宋体" w:cs="Segoe UI"/>
                <w:color w:val="000000"/>
                <w:szCs w:val="18"/>
                <w:lang w:bidi="ar"/>
              </w:rPr>
              <w:t>—</w:t>
            </w:r>
          </w:p>
        </w:tc>
      </w:tr>
      <w:tr w14:paraId="3BC81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1AEBAE67">
            <w:pPr>
              <w:pStyle w:val="182"/>
            </w:pPr>
            <w:r>
              <w:rPr>
                <w:rFonts w:hAnsi="宋体" w:cs="Segoe UI"/>
                <w:color w:val="000000"/>
                <w:szCs w:val="18"/>
                <w:lang w:bidi="ar"/>
              </w:rPr>
              <w:t>制冷剂泄漏率</w:t>
            </w:r>
          </w:p>
        </w:tc>
        <w:tc>
          <w:tcPr>
            <w:tcW w:w="491" w:type="pct"/>
            <w:vAlign w:val="center"/>
          </w:tcPr>
          <w:p w14:paraId="5E8E6568">
            <w:pPr>
              <w:pStyle w:val="182"/>
            </w:pPr>
            <w:r>
              <w:rPr>
                <w:rFonts w:hAnsi="宋体" w:cs="Segoe UI"/>
                <w:color w:val="000000"/>
                <w:szCs w:val="18"/>
                <w:lang w:bidi="ar"/>
              </w:rPr>
              <w:t>%/百公里</w:t>
            </w:r>
          </w:p>
        </w:tc>
        <w:tc>
          <w:tcPr>
            <w:tcW w:w="437" w:type="pct"/>
            <w:vAlign w:val="center"/>
          </w:tcPr>
          <w:p w14:paraId="17D52545">
            <w:pPr>
              <w:pStyle w:val="182"/>
            </w:pPr>
          </w:p>
        </w:tc>
        <w:tc>
          <w:tcPr>
            <w:tcW w:w="653" w:type="pct"/>
            <w:vAlign w:val="center"/>
          </w:tcPr>
          <w:p w14:paraId="67037D6A">
            <w:pPr>
              <w:pStyle w:val="182"/>
            </w:pPr>
            <w:r>
              <w:rPr>
                <w:rFonts w:hAnsi="宋体" w:cs="Segoe UI"/>
                <w:color w:val="000000"/>
                <w:szCs w:val="18"/>
                <w:lang w:bidi="ar"/>
              </w:rPr>
              <w:t>车载监测</w:t>
            </w:r>
          </w:p>
        </w:tc>
        <w:tc>
          <w:tcPr>
            <w:tcW w:w="1353" w:type="pct"/>
            <w:vAlign w:val="center"/>
          </w:tcPr>
          <w:p w14:paraId="0BEF31F0">
            <w:pPr>
              <w:pStyle w:val="182"/>
            </w:pPr>
            <w:r>
              <w:rPr>
                <w:rFonts w:hAnsi="宋体" w:cs="Segoe UI"/>
                <w:color w:val="000000"/>
                <w:szCs w:val="18"/>
                <w:lang w:bidi="ar"/>
              </w:rPr>
              <w:t>R404A专用传感器</w:t>
            </w:r>
          </w:p>
        </w:tc>
        <w:tc>
          <w:tcPr>
            <w:tcW w:w="1195" w:type="pct"/>
            <w:vAlign w:val="center"/>
          </w:tcPr>
          <w:p w14:paraId="725B8346">
            <w:pPr>
              <w:pStyle w:val="182"/>
            </w:pPr>
            <w:r>
              <w:rPr>
                <w:rFonts w:hAnsi="宋体" w:cs="Segoe UI"/>
                <w:color w:val="000000"/>
                <w:szCs w:val="18"/>
                <w:lang w:bidi="ar"/>
              </w:rPr>
              <w:t>-20℃以下×1.5</w:t>
            </w:r>
          </w:p>
        </w:tc>
      </w:tr>
      <w:tr w14:paraId="4E832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0576207B">
            <w:pPr>
              <w:pStyle w:val="182"/>
            </w:pPr>
            <w:r>
              <w:rPr>
                <w:rFonts w:hAnsi="宋体" w:cs="Segoe UI"/>
                <w:color w:val="000000"/>
                <w:szCs w:val="18"/>
                <w:lang w:bidi="ar"/>
              </w:rPr>
              <w:t>运输温度波动</w:t>
            </w:r>
          </w:p>
        </w:tc>
        <w:tc>
          <w:tcPr>
            <w:tcW w:w="491" w:type="pct"/>
            <w:vAlign w:val="center"/>
          </w:tcPr>
          <w:p w14:paraId="1FC8D139">
            <w:pPr>
              <w:pStyle w:val="182"/>
            </w:pPr>
            <w:r>
              <w:rPr>
                <w:rFonts w:hAnsi="宋体" w:cs="Segoe UI"/>
                <w:color w:val="000000"/>
                <w:szCs w:val="18"/>
                <w:lang w:bidi="ar"/>
              </w:rPr>
              <w:t>±℃</w:t>
            </w:r>
          </w:p>
        </w:tc>
        <w:tc>
          <w:tcPr>
            <w:tcW w:w="437" w:type="pct"/>
            <w:vAlign w:val="center"/>
          </w:tcPr>
          <w:p w14:paraId="760F3692">
            <w:pPr>
              <w:pStyle w:val="182"/>
            </w:pPr>
          </w:p>
        </w:tc>
        <w:tc>
          <w:tcPr>
            <w:tcW w:w="653" w:type="pct"/>
            <w:vAlign w:val="center"/>
          </w:tcPr>
          <w:p w14:paraId="40AD6817">
            <w:pPr>
              <w:pStyle w:val="182"/>
            </w:pPr>
            <w:r>
              <w:rPr>
                <w:rFonts w:hAnsi="宋体" w:cs="Segoe UI"/>
                <w:color w:val="000000"/>
                <w:szCs w:val="18"/>
                <w:lang w:bidi="ar"/>
              </w:rPr>
              <w:t>温度记录仪</w:t>
            </w:r>
          </w:p>
        </w:tc>
        <w:tc>
          <w:tcPr>
            <w:tcW w:w="1353" w:type="pct"/>
            <w:vAlign w:val="center"/>
          </w:tcPr>
          <w:p w14:paraId="577F074E">
            <w:pPr>
              <w:pStyle w:val="182"/>
            </w:pPr>
            <w:r>
              <w:rPr>
                <w:rFonts w:hAnsi="宋体" w:cs="Segoe UI"/>
                <w:color w:val="000000"/>
                <w:szCs w:val="18"/>
                <w:lang w:bidi="ar"/>
              </w:rPr>
              <w:t>≤±0.5℃</w:t>
            </w:r>
          </w:p>
        </w:tc>
        <w:tc>
          <w:tcPr>
            <w:tcW w:w="1195" w:type="pct"/>
            <w:vAlign w:val="center"/>
          </w:tcPr>
          <w:p w14:paraId="3F482A15">
            <w:pPr>
              <w:pStyle w:val="182"/>
            </w:pPr>
            <w:r>
              <w:rPr>
                <w:rFonts w:hAnsi="宋体" w:cs="Segoe UI"/>
                <w:color w:val="000000"/>
                <w:szCs w:val="18"/>
                <w:lang w:bidi="ar"/>
              </w:rPr>
              <w:t>—</w:t>
            </w:r>
          </w:p>
        </w:tc>
      </w:tr>
      <w:tr w14:paraId="5767E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195FCDB4">
            <w:pPr>
              <w:pStyle w:val="182"/>
            </w:pPr>
            <w:r>
              <w:rPr>
                <w:rFonts w:hAnsi="宋体" w:cs="Segoe UI"/>
                <w:color w:val="000000"/>
                <w:szCs w:val="18"/>
                <w:lang w:bidi="ar"/>
              </w:rPr>
              <w:t>辅助材料</w:t>
            </w:r>
          </w:p>
        </w:tc>
        <w:tc>
          <w:tcPr>
            <w:tcW w:w="491" w:type="pct"/>
            <w:vAlign w:val="center"/>
          </w:tcPr>
          <w:p w14:paraId="0B63360E">
            <w:pPr>
              <w:pStyle w:val="182"/>
            </w:pPr>
          </w:p>
        </w:tc>
        <w:tc>
          <w:tcPr>
            <w:tcW w:w="437" w:type="pct"/>
            <w:vAlign w:val="center"/>
          </w:tcPr>
          <w:p w14:paraId="781D6B62">
            <w:pPr>
              <w:pStyle w:val="182"/>
            </w:pPr>
          </w:p>
        </w:tc>
        <w:tc>
          <w:tcPr>
            <w:tcW w:w="653" w:type="pct"/>
            <w:vAlign w:val="center"/>
          </w:tcPr>
          <w:p w14:paraId="1BAD8690">
            <w:pPr>
              <w:pStyle w:val="182"/>
            </w:pPr>
          </w:p>
        </w:tc>
        <w:tc>
          <w:tcPr>
            <w:tcW w:w="1353" w:type="pct"/>
            <w:vAlign w:val="center"/>
          </w:tcPr>
          <w:p w14:paraId="6B1014CE">
            <w:pPr>
              <w:pStyle w:val="182"/>
            </w:pPr>
          </w:p>
        </w:tc>
        <w:tc>
          <w:tcPr>
            <w:tcW w:w="1195" w:type="pct"/>
            <w:vAlign w:val="center"/>
          </w:tcPr>
          <w:p w14:paraId="62FB2283">
            <w:pPr>
              <w:pStyle w:val="182"/>
            </w:pPr>
          </w:p>
        </w:tc>
      </w:tr>
      <w:tr w14:paraId="4D7BF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486A8C7E">
            <w:pPr>
              <w:pStyle w:val="182"/>
            </w:pPr>
            <w:r>
              <w:rPr>
                <w:rFonts w:hAnsi="宋体" w:cs="Segoe UI"/>
                <w:color w:val="000000"/>
                <w:szCs w:val="18"/>
                <w:lang w:bidi="ar"/>
              </w:rPr>
              <w:t>包装淋膜厚度</w:t>
            </w:r>
          </w:p>
        </w:tc>
        <w:tc>
          <w:tcPr>
            <w:tcW w:w="491" w:type="pct"/>
            <w:vAlign w:val="center"/>
          </w:tcPr>
          <w:p w14:paraId="3A9C8960">
            <w:pPr>
              <w:pStyle w:val="182"/>
            </w:pPr>
            <w:r>
              <w:rPr>
                <w:rFonts w:hAnsi="宋体" w:cs="Segoe UI"/>
                <w:color w:val="000000"/>
                <w:szCs w:val="18"/>
                <w:lang w:bidi="ar"/>
              </w:rPr>
              <w:t>μm</w:t>
            </w:r>
          </w:p>
        </w:tc>
        <w:tc>
          <w:tcPr>
            <w:tcW w:w="437" w:type="pct"/>
            <w:vAlign w:val="center"/>
          </w:tcPr>
          <w:p w14:paraId="224F0C48">
            <w:pPr>
              <w:pStyle w:val="182"/>
            </w:pPr>
          </w:p>
        </w:tc>
        <w:tc>
          <w:tcPr>
            <w:tcW w:w="653" w:type="pct"/>
            <w:vAlign w:val="center"/>
          </w:tcPr>
          <w:p w14:paraId="4D96E8EB">
            <w:pPr>
              <w:pStyle w:val="182"/>
            </w:pPr>
            <w:r>
              <w:rPr>
                <w:rFonts w:hAnsi="宋体" w:cs="Segoe UI"/>
                <w:color w:val="000000"/>
                <w:szCs w:val="18"/>
                <w:lang w:bidi="ar"/>
              </w:rPr>
              <w:t>千分尺测量</w:t>
            </w:r>
          </w:p>
        </w:tc>
        <w:tc>
          <w:tcPr>
            <w:tcW w:w="1353" w:type="pct"/>
            <w:vAlign w:val="center"/>
          </w:tcPr>
          <w:p w14:paraId="31725324">
            <w:pPr>
              <w:pStyle w:val="182"/>
            </w:pPr>
            <w:r>
              <w:rPr>
                <w:rFonts w:hAnsi="宋体" w:cs="Segoe UI"/>
                <w:color w:val="000000"/>
                <w:szCs w:val="18"/>
                <w:lang w:bidi="ar"/>
              </w:rPr>
              <w:t>每卷测3点</w:t>
            </w:r>
          </w:p>
        </w:tc>
        <w:tc>
          <w:tcPr>
            <w:tcW w:w="1195" w:type="pct"/>
            <w:vAlign w:val="center"/>
          </w:tcPr>
          <w:p w14:paraId="09EC68C5">
            <w:pPr>
              <w:pStyle w:val="182"/>
            </w:pPr>
            <w:r>
              <w:rPr>
                <w:rFonts w:hAnsi="宋体" w:cs="Segoe UI"/>
                <w:color w:val="000000"/>
                <w:szCs w:val="18"/>
                <w:lang w:bidi="ar"/>
              </w:rPr>
              <w:t>—</w:t>
            </w:r>
          </w:p>
        </w:tc>
      </w:tr>
      <w:tr w14:paraId="23324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2777C93C">
            <w:pPr>
              <w:pStyle w:val="182"/>
            </w:pPr>
            <w:r>
              <w:rPr>
                <w:rFonts w:hAnsi="宋体" w:cs="Segoe UI"/>
                <w:color w:val="000000"/>
                <w:szCs w:val="18"/>
                <w:lang w:bidi="ar"/>
              </w:rPr>
              <w:t>分切边角料率</w:t>
            </w:r>
          </w:p>
        </w:tc>
        <w:tc>
          <w:tcPr>
            <w:tcW w:w="491" w:type="pct"/>
            <w:vAlign w:val="center"/>
          </w:tcPr>
          <w:p w14:paraId="396FB8E5">
            <w:pPr>
              <w:pStyle w:val="182"/>
            </w:pPr>
            <w:r>
              <w:rPr>
                <w:rFonts w:hAnsi="宋体" w:cs="Segoe UI"/>
                <w:color w:val="000000"/>
                <w:szCs w:val="18"/>
                <w:lang w:bidi="ar"/>
              </w:rPr>
              <w:t>%</w:t>
            </w:r>
          </w:p>
        </w:tc>
        <w:tc>
          <w:tcPr>
            <w:tcW w:w="437" w:type="pct"/>
            <w:vAlign w:val="center"/>
          </w:tcPr>
          <w:p w14:paraId="0E150894">
            <w:pPr>
              <w:pStyle w:val="182"/>
            </w:pPr>
          </w:p>
        </w:tc>
        <w:tc>
          <w:tcPr>
            <w:tcW w:w="653" w:type="pct"/>
            <w:vAlign w:val="center"/>
          </w:tcPr>
          <w:p w14:paraId="57F6D202">
            <w:pPr>
              <w:pStyle w:val="182"/>
            </w:pPr>
            <w:r>
              <w:rPr>
                <w:rFonts w:hAnsi="宋体" w:cs="Segoe UI"/>
                <w:color w:val="000000"/>
                <w:szCs w:val="18"/>
                <w:lang w:bidi="ar"/>
              </w:rPr>
              <w:t>生产报表</w:t>
            </w:r>
          </w:p>
        </w:tc>
        <w:tc>
          <w:tcPr>
            <w:tcW w:w="1353" w:type="pct"/>
            <w:vAlign w:val="center"/>
          </w:tcPr>
          <w:p w14:paraId="32E37211">
            <w:pPr>
              <w:pStyle w:val="182"/>
            </w:pPr>
            <w:r>
              <w:rPr>
                <w:rFonts w:hAnsi="宋体" w:cs="Segoe UI"/>
                <w:color w:val="000000"/>
                <w:szCs w:val="18"/>
                <w:lang w:bidi="ar"/>
              </w:rPr>
              <w:t>(边角料/总用料)×100%</w:t>
            </w:r>
          </w:p>
        </w:tc>
        <w:tc>
          <w:tcPr>
            <w:tcW w:w="1195" w:type="pct"/>
            <w:vAlign w:val="center"/>
          </w:tcPr>
          <w:p w14:paraId="5A9BB9C3">
            <w:pPr>
              <w:pStyle w:val="182"/>
            </w:pPr>
            <w:r>
              <w:rPr>
                <w:rFonts w:hAnsi="宋体" w:cs="Segoe UI"/>
                <w:color w:val="000000"/>
                <w:szCs w:val="18"/>
                <w:lang w:bidi="ar"/>
              </w:rPr>
              <w:t>—</w:t>
            </w:r>
          </w:p>
        </w:tc>
      </w:tr>
      <w:tr w14:paraId="596FC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5A08FA7C">
            <w:pPr>
              <w:pStyle w:val="182"/>
            </w:pPr>
            <w:r>
              <w:rPr>
                <w:rFonts w:hAnsi="宋体" w:cs="Segoe UI"/>
                <w:color w:val="000000"/>
                <w:szCs w:val="18"/>
                <w:lang w:bidi="ar"/>
              </w:rPr>
              <w:t>运输载重利用率</w:t>
            </w:r>
          </w:p>
        </w:tc>
        <w:tc>
          <w:tcPr>
            <w:tcW w:w="491" w:type="pct"/>
            <w:vAlign w:val="center"/>
          </w:tcPr>
          <w:p w14:paraId="257E5F75">
            <w:pPr>
              <w:pStyle w:val="182"/>
            </w:pPr>
            <w:r>
              <w:rPr>
                <w:rFonts w:hAnsi="宋体" w:cs="Segoe UI"/>
                <w:color w:val="000000"/>
                <w:szCs w:val="18"/>
                <w:lang w:bidi="ar"/>
              </w:rPr>
              <w:t>%</w:t>
            </w:r>
          </w:p>
        </w:tc>
        <w:tc>
          <w:tcPr>
            <w:tcW w:w="437" w:type="pct"/>
            <w:vAlign w:val="center"/>
          </w:tcPr>
          <w:p w14:paraId="7C20E15E">
            <w:pPr>
              <w:pStyle w:val="182"/>
            </w:pPr>
          </w:p>
        </w:tc>
        <w:tc>
          <w:tcPr>
            <w:tcW w:w="653" w:type="pct"/>
            <w:vAlign w:val="center"/>
          </w:tcPr>
          <w:p w14:paraId="1472D97F">
            <w:pPr>
              <w:pStyle w:val="182"/>
            </w:pPr>
            <w:r>
              <w:rPr>
                <w:rFonts w:hAnsi="宋体" w:cs="Segoe UI"/>
                <w:color w:val="000000"/>
                <w:szCs w:val="18"/>
                <w:lang w:bidi="ar"/>
              </w:rPr>
              <w:t>货运单据</w:t>
            </w:r>
          </w:p>
        </w:tc>
        <w:tc>
          <w:tcPr>
            <w:tcW w:w="1353" w:type="pct"/>
            <w:vAlign w:val="center"/>
          </w:tcPr>
          <w:p w14:paraId="150EAAD7">
            <w:pPr>
              <w:pStyle w:val="182"/>
            </w:pPr>
            <w:r>
              <w:rPr>
                <w:rFonts w:hAnsi="宋体" w:cs="Segoe UI"/>
                <w:color w:val="000000"/>
                <w:szCs w:val="18"/>
                <w:lang w:bidi="ar"/>
              </w:rPr>
              <w:t>(实际载重/额定载重)×100%</w:t>
            </w:r>
          </w:p>
        </w:tc>
        <w:tc>
          <w:tcPr>
            <w:tcW w:w="1195" w:type="pct"/>
            <w:vAlign w:val="center"/>
          </w:tcPr>
          <w:p w14:paraId="6EBCBB71">
            <w:pPr>
              <w:pStyle w:val="182"/>
            </w:pPr>
            <w:r>
              <w:rPr>
                <w:rFonts w:hAnsi="宋体" w:cs="Segoe UI"/>
                <w:color w:val="000000"/>
                <w:szCs w:val="18"/>
                <w:lang w:bidi="ar"/>
              </w:rPr>
              <w:t>冰雪路面×0.85</w:t>
            </w:r>
          </w:p>
        </w:tc>
      </w:tr>
      <w:tr w14:paraId="3F2D7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302D5DB6">
            <w:pPr>
              <w:pStyle w:val="182"/>
            </w:pPr>
            <w:r>
              <w:rPr>
                <w:rFonts w:hAnsi="宋体" w:cs="Segoe UI"/>
                <w:color w:val="000000"/>
                <w:szCs w:val="18"/>
                <w:lang w:bidi="ar"/>
              </w:rPr>
              <w:t>包材吨公里油耗</w:t>
            </w:r>
          </w:p>
        </w:tc>
        <w:tc>
          <w:tcPr>
            <w:tcW w:w="491" w:type="pct"/>
            <w:vAlign w:val="center"/>
          </w:tcPr>
          <w:p w14:paraId="5770DCE4">
            <w:pPr>
              <w:pStyle w:val="182"/>
            </w:pPr>
            <w:r>
              <w:rPr>
                <w:rFonts w:hAnsi="宋体" w:cs="Segoe UI"/>
                <w:color w:val="000000"/>
                <w:szCs w:val="18"/>
                <w:lang w:bidi="ar"/>
              </w:rPr>
              <w:t>L/t·km</w:t>
            </w:r>
          </w:p>
        </w:tc>
        <w:tc>
          <w:tcPr>
            <w:tcW w:w="437" w:type="pct"/>
            <w:vAlign w:val="center"/>
          </w:tcPr>
          <w:p w14:paraId="1FD70580">
            <w:pPr>
              <w:pStyle w:val="182"/>
            </w:pPr>
          </w:p>
        </w:tc>
        <w:tc>
          <w:tcPr>
            <w:tcW w:w="653" w:type="pct"/>
            <w:vAlign w:val="center"/>
          </w:tcPr>
          <w:p w14:paraId="16FABDD8">
            <w:pPr>
              <w:pStyle w:val="182"/>
            </w:pPr>
            <w:r>
              <w:rPr>
                <w:rFonts w:hAnsi="宋体" w:cs="Segoe UI"/>
                <w:color w:val="000000"/>
                <w:szCs w:val="18"/>
                <w:lang w:bidi="ar"/>
              </w:rPr>
              <w:t>GPS油耗系统</w:t>
            </w:r>
          </w:p>
        </w:tc>
        <w:tc>
          <w:tcPr>
            <w:tcW w:w="1353" w:type="pct"/>
            <w:vAlign w:val="center"/>
          </w:tcPr>
          <w:p w14:paraId="2C51BFBE">
            <w:pPr>
              <w:pStyle w:val="182"/>
            </w:pPr>
            <w:r>
              <w:rPr>
                <w:rFonts w:hAnsi="宋体" w:cs="Segoe UI"/>
                <w:color w:val="000000"/>
                <w:szCs w:val="18"/>
                <w:lang w:bidi="ar"/>
              </w:rPr>
              <w:t>按路线统计</w:t>
            </w:r>
          </w:p>
        </w:tc>
        <w:tc>
          <w:tcPr>
            <w:tcW w:w="1195" w:type="pct"/>
            <w:vAlign w:val="center"/>
          </w:tcPr>
          <w:p w14:paraId="57359F4F">
            <w:pPr>
              <w:pStyle w:val="182"/>
            </w:pPr>
            <w:r>
              <w:rPr>
                <w:rFonts w:hAnsi="宋体" w:cs="Segoe UI"/>
                <w:color w:val="000000"/>
                <w:szCs w:val="18"/>
                <w:lang w:bidi="ar"/>
              </w:rPr>
              <w:t>—</w:t>
            </w:r>
          </w:p>
        </w:tc>
      </w:tr>
      <w:tr w14:paraId="6FDF6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4E5CFF4E">
            <w:pPr>
              <w:pStyle w:val="182"/>
            </w:pPr>
            <w:r>
              <w:rPr>
                <w:rFonts w:hAnsi="宋体" w:cs="Segoe UI"/>
                <w:color w:val="000000"/>
                <w:szCs w:val="18"/>
                <w:lang w:bidi="ar"/>
              </w:rPr>
              <w:t>冷链启停次数</w:t>
            </w:r>
          </w:p>
        </w:tc>
        <w:tc>
          <w:tcPr>
            <w:tcW w:w="491" w:type="pct"/>
            <w:vAlign w:val="center"/>
          </w:tcPr>
          <w:p w14:paraId="60BB23E2">
            <w:pPr>
              <w:pStyle w:val="182"/>
            </w:pPr>
            <w:r>
              <w:rPr>
                <w:rFonts w:hAnsi="宋体" w:cs="Segoe UI"/>
                <w:color w:val="000000"/>
                <w:szCs w:val="18"/>
                <w:lang w:bidi="ar"/>
              </w:rPr>
              <w:t>次/百公里</w:t>
            </w:r>
          </w:p>
        </w:tc>
        <w:tc>
          <w:tcPr>
            <w:tcW w:w="437" w:type="pct"/>
            <w:vAlign w:val="center"/>
          </w:tcPr>
          <w:p w14:paraId="065C790F">
            <w:pPr>
              <w:pStyle w:val="182"/>
            </w:pPr>
          </w:p>
        </w:tc>
        <w:tc>
          <w:tcPr>
            <w:tcW w:w="653" w:type="pct"/>
            <w:vAlign w:val="center"/>
          </w:tcPr>
          <w:p w14:paraId="249CF3C4">
            <w:pPr>
              <w:pStyle w:val="182"/>
            </w:pPr>
            <w:r>
              <w:rPr>
                <w:rFonts w:hAnsi="宋体" w:cs="Segoe UI"/>
                <w:color w:val="000000"/>
                <w:szCs w:val="18"/>
                <w:lang w:bidi="ar"/>
              </w:rPr>
              <w:t>行车记录仪</w:t>
            </w:r>
          </w:p>
        </w:tc>
        <w:tc>
          <w:tcPr>
            <w:tcW w:w="1353" w:type="pct"/>
            <w:vAlign w:val="center"/>
          </w:tcPr>
          <w:p w14:paraId="34406C56">
            <w:pPr>
              <w:pStyle w:val="182"/>
            </w:pPr>
            <w:r>
              <w:rPr>
                <w:rFonts w:hAnsi="宋体" w:cs="Segoe UI"/>
                <w:color w:val="000000"/>
                <w:szCs w:val="18"/>
                <w:lang w:bidi="ar"/>
              </w:rPr>
              <w:t>制冷机组启停记录</w:t>
            </w:r>
          </w:p>
        </w:tc>
        <w:tc>
          <w:tcPr>
            <w:tcW w:w="1195" w:type="pct"/>
            <w:vAlign w:val="center"/>
          </w:tcPr>
          <w:p w14:paraId="2688F9AF">
            <w:pPr>
              <w:pStyle w:val="182"/>
            </w:pPr>
            <w:r>
              <w:rPr>
                <w:rFonts w:hAnsi="宋体" w:cs="Segoe UI"/>
                <w:color w:val="000000"/>
                <w:szCs w:val="18"/>
                <w:lang w:bidi="ar"/>
              </w:rPr>
              <w:t>—</w:t>
            </w:r>
          </w:p>
        </w:tc>
      </w:tr>
      <w:tr w14:paraId="6AF95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6922EE7C">
            <w:pPr>
              <w:pStyle w:val="182"/>
            </w:pPr>
            <w:r>
              <w:rPr>
                <w:rFonts w:hAnsi="宋体" w:cs="Segoe UI"/>
                <w:color w:val="000000"/>
                <w:szCs w:val="18"/>
                <w:lang w:bidi="ar"/>
              </w:rPr>
              <w:t>NaOH工作浓度</w:t>
            </w:r>
          </w:p>
        </w:tc>
        <w:tc>
          <w:tcPr>
            <w:tcW w:w="491" w:type="pct"/>
            <w:vAlign w:val="center"/>
          </w:tcPr>
          <w:p w14:paraId="7C2402B4">
            <w:pPr>
              <w:pStyle w:val="182"/>
            </w:pPr>
            <w:r>
              <w:rPr>
                <w:rFonts w:hAnsi="宋体" w:cs="Segoe UI"/>
                <w:color w:val="000000"/>
                <w:szCs w:val="18"/>
                <w:lang w:bidi="ar"/>
              </w:rPr>
              <w:t>%</w:t>
            </w:r>
          </w:p>
        </w:tc>
        <w:tc>
          <w:tcPr>
            <w:tcW w:w="437" w:type="pct"/>
            <w:vAlign w:val="center"/>
          </w:tcPr>
          <w:p w14:paraId="0C88B6AB">
            <w:pPr>
              <w:pStyle w:val="182"/>
            </w:pPr>
          </w:p>
        </w:tc>
        <w:tc>
          <w:tcPr>
            <w:tcW w:w="653" w:type="pct"/>
            <w:vAlign w:val="center"/>
          </w:tcPr>
          <w:p w14:paraId="73D47A96">
            <w:pPr>
              <w:pStyle w:val="182"/>
            </w:pPr>
            <w:r>
              <w:rPr>
                <w:rFonts w:hAnsi="宋体" w:cs="Segoe UI"/>
                <w:color w:val="000000"/>
                <w:szCs w:val="18"/>
                <w:lang w:bidi="ar"/>
              </w:rPr>
              <w:t>滴定检测</w:t>
            </w:r>
          </w:p>
        </w:tc>
        <w:tc>
          <w:tcPr>
            <w:tcW w:w="1353" w:type="pct"/>
            <w:vAlign w:val="center"/>
          </w:tcPr>
          <w:p w14:paraId="396FBCBC">
            <w:pPr>
              <w:pStyle w:val="182"/>
            </w:pPr>
            <w:r>
              <w:rPr>
                <w:rFonts w:hAnsi="宋体" w:cs="Segoe UI"/>
                <w:color w:val="000000"/>
                <w:szCs w:val="18"/>
                <w:lang w:bidi="ar"/>
              </w:rPr>
              <w:t>4~6%范围</w:t>
            </w:r>
          </w:p>
        </w:tc>
        <w:tc>
          <w:tcPr>
            <w:tcW w:w="1195" w:type="pct"/>
            <w:vAlign w:val="center"/>
          </w:tcPr>
          <w:p w14:paraId="0EA85609">
            <w:pPr>
              <w:pStyle w:val="182"/>
            </w:pPr>
            <w:r>
              <w:rPr>
                <w:rFonts w:hAnsi="宋体" w:cs="Segoe UI"/>
                <w:color w:val="000000"/>
                <w:szCs w:val="18"/>
                <w:lang w:bidi="ar"/>
              </w:rPr>
              <w:t>—</w:t>
            </w:r>
          </w:p>
        </w:tc>
      </w:tr>
      <w:tr w14:paraId="3844B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7A0B63AA">
            <w:pPr>
              <w:pStyle w:val="182"/>
            </w:pPr>
            <w:r>
              <w:rPr>
                <w:rFonts w:hAnsi="宋体" w:cs="Segoe UI"/>
                <w:color w:val="000000"/>
                <w:szCs w:val="18"/>
                <w:lang w:bidi="ar"/>
              </w:rPr>
              <w:t>NaOH批次配制量</w:t>
            </w:r>
          </w:p>
        </w:tc>
        <w:tc>
          <w:tcPr>
            <w:tcW w:w="491" w:type="pct"/>
            <w:vAlign w:val="center"/>
          </w:tcPr>
          <w:p w14:paraId="21FB78E8">
            <w:pPr>
              <w:pStyle w:val="182"/>
            </w:pPr>
            <w:r>
              <w:rPr>
                <w:rFonts w:hAnsi="宋体" w:cs="Segoe UI"/>
                <w:color w:val="000000"/>
                <w:szCs w:val="18"/>
                <w:lang w:bidi="ar"/>
              </w:rPr>
              <w:t>m³/批</w:t>
            </w:r>
          </w:p>
        </w:tc>
        <w:tc>
          <w:tcPr>
            <w:tcW w:w="437" w:type="pct"/>
            <w:vAlign w:val="center"/>
          </w:tcPr>
          <w:p w14:paraId="475A1168">
            <w:pPr>
              <w:pStyle w:val="182"/>
            </w:pPr>
          </w:p>
        </w:tc>
        <w:tc>
          <w:tcPr>
            <w:tcW w:w="653" w:type="pct"/>
            <w:vAlign w:val="center"/>
          </w:tcPr>
          <w:p w14:paraId="655A944D">
            <w:pPr>
              <w:pStyle w:val="182"/>
            </w:pPr>
            <w:r>
              <w:rPr>
                <w:rFonts w:hAnsi="宋体" w:cs="Segoe UI"/>
                <w:color w:val="000000"/>
                <w:szCs w:val="18"/>
                <w:lang w:bidi="ar"/>
              </w:rPr>
              <w:t>配液罐容积</w:t>
            </w:r>
          </w:p>
        </w:tc>
        <w:tc>
          <w:tcPr>
            <w:tcW w:w="1353" w:type="pct"/>
            <w:vAlign w:val="center"/>
          </w:tcPr>
          <w:p w14:paraId="5EF83FCA">
            <w:pPr>
              <w:pStyle w:val="182"/>
            </w:pPr>
            <w:r>
              <w:rPr>
                <w:rFonts w:hAnsi="宋体" w:cs="Segoe UI"/>
                <w:color w:val="000000"/>
                <w:szCs w:val="18"/>
                <w:lang w:bidi="ar"/>
              </w:rPr>
              <w:t>—</w:t>
            </w:r>
          </w:p>
        </w:tc>
        <w:tc>
          <w:tcPr>
            <w:tcW w:w="1195" w:type="pct"/>
            <w:vAlign w:val="center"/>
          </w:tcPr>
          <w:p w14:paraId="74B3FED9">
            <w:pPr>
              <w:pStyle w:val="182"/>
            </w:pPr>
            <w:r>
              <w:rPr>
                <w:rFonts w:hAnsi="宋体" w:cs="Segoe UI"/>
                <w:color w:val="000000"/>
                <w:szCs w:val="18"/>
                <w:lang w:bidi="ar"/>
              </w:rPr>
              <w:t>—</w:t>
            </w:r>
          </w:p>
        </w:tc>
      </w:tr>
      <w:tr w14:paraId="14B19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3FF4C3A0">
            <w:pPr>
              <w:pStyle w:val="182"/>
            </w:pPr>
            <w:r>
              <w:rPr>
                <w:rFonts w:hAnsi="宋体" w:cs="Segoe UI"/>
                <w:color w:val="000000"/>
                <w:szCs w:val="18"/>
                <w:lang w:bidi="ar"/>
              </w:rPr>
              <w:t>配液罐冲洗水耗</w:t>
            </w:r>
          </w:p>
        </w:tc>
        <w:tc>
          <w:tcPr>
            <w:tcW w:w="491" w:type="pct"/>
            <w:vAlign w:val="center"/>
          </w:tcPr>
          <w:p w14:paraId="2C019576">
            <w:pPr>
              <w:pStyle w:val="182"/>
            </w:pPr>
            <w:r>
              <w:rPr>
                <w:rFonts w:hAnsi="宋体" w:cs="Segoe UI"/>
                <w:color w:val="000000"/>
                <w:szCs w:val="18"/>
                <w:lang w:bidi="ar"/>
              </w:rPr>
              <w:t>L/批</w:t>
            </w:r>
          </w:p>
        </w:tc>
        <w:tc>
          <w:tcPr>
            <w:tcW w:w="437" w:type="pct"/>
            <w:vAlign w:val="center"/>
          </w:tcPr>
          <w:p w14:paraId="53CF9C85">
            <w:pPr>
              <w:pStyle w:val="182"/>
            </w:pPr>
          </w:p>
        </w:tc>
        <w:tc>
          <w:tcPr>
            <w:tcW w:w="653" w:type="pct"/>
            <w:vAlign w:val="center"/>
          </w:tcPr>
          <w:p w14:paraId="5EB46D30">
            <w:pPr>
              <w:pStyle w:val="182"/>
            </w:pPr>
            <w:r>
              <w:rPr>
                <w:rFonts w:hAnsi="宋体" w:cs="Segoe UI"/>
                <w:color w:val="000000"/>
                <w:szCs w:val="18"/>
                <w:lang w:bidi="ar"/>
              </w:rPr>
              <w:t>流量计</w:t>
            </w:r>
          </w:p>
        </w:tc>
        <w:tc>
          <w:tcPr>
            <w:tcW w:w="1353" w:type="pct"/>
            <w:vAlign w:val="center"/>
          </w:tcPr>
          <w:p w14:paraId="4ACDA03B">
            <w:pPr>
              <w:pStyle w:val="182"/>
            </w:pPr>
            <w:r>
              <w:rPr>
                <w:rFonts w:hAnsi="宋体" w:cs="Segoe UI"/>
                <w:color w:val="000000"/>
                <w:szCs w:val="18"/>
                <w:lang w:bidi="ar"/>
              </w:rPr>
              <w:t>—</w:t>
            </w:r>
          </w:p>
        </w:tc>
        <w:tc>
          <w:tcPr>
            <w:tcW w:w="1195" w:type="pct"/>
            <w:vAlign w:val="center"/>
          </w:tcPr>
          <w:p w14:paraId="4D88D073">
            <w:pPr>
              <w:pStyle w:val="182"/>
            </w:pPr>
            <w:r>
              <w:rPr>
                <w:rFonts w:hAnsi="宋体" w:cs="Segoe UI"/>
                <w:color w:val="000000"/>
                <w:szCs w:val="18"/>
                <w:lang w:bidi="ar"/>
              </w:rPr>
              <w:t>—</w:t>
            </w:r>
          </w:p>
        </w:tc>
      </w:tr>
      <w:tr w14:paraId="57A26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7CF4FE09">
            <w:pPr>
              <w:pStyle w:val="182"/>
            </w:pPr>
            <w:r>
              <w:rPr>
                <w:rFonts w:hAnsi="宋体" w:cs="Segoe UI"/>
                <w:color w:val="000000"/>
                <w:szCs w:val="18"/>
                <w:lang w:bidi="ar"/>
              </w:rPr>
              <w:t>CIP单次循环用量</w:t>
            </w:r>
          </w:p>
        </w:tc>
        <w:tc>
          <w:tcPr>
            <w:tcW w:w="491" w:type="pct"/>
            <w:vAlign w:val="center"/>
          </w:tcPr>
          <w:p w14:paraId="5DC28FBC">
            <w:pPr>
              <w:pStyle w:val="182"/>
            </w:pPr>
            <w:r>
              <w:rPr>
                <w:rFonts w:hAnsi="宋体" w:cs="Segoe UI"/>
                <w:color w:val="000000"/>
                <w:szCs w:val="18"/>
                <w:lang w:bidi="ar"/>
              </w:rPr>
              <w:t>m</w:t>
            </w:r>
            <w:r>
              <w:rPr>
                <w:rFonts w:hint="eastAsia" w:hAnsi="宋体"/>
                <w:szCs w:val="18"/>
                <w:vertAlign w:val="superscript"/>
              </w:rPr>
              <w:t>3</w:t>
            </w:r>
          </w:p>
        </w:tc>
        <w:tc>
          <w:tcPr>
            <w:tcW w:w="437" w:type="pct"/>
            <w:vAlign w:val="center"/>
          </w:tcPr>
          <w:p w14:paraId="0C1111DE">
            <w:pPr>
              <w:pStyle w:val="182"/>
            </w:pPr>
          </w:p>
        </w:tc>
        <w:tc>
          <w:tcPr>
            <w:tcW w:w="653" w:type="pct"/>
            <w:vAlign w:val="center"/>
          </w:tcPr>
          <w:p w14:paraId="05E71AB7">
            <w:pPr>
              <w:pStyle w:val="182"/>
            </w:pPr>
            <w:r>
              <w:rPr>
                <w:rFonts w:hAnsi="宋体" w:cs="Segoe UI"/>
                <w:color w:val="000000"/>
                <w:szCs w:val="18"/>
                <w:lang w:bidi="ar"/>
              </w:rPr>
              <w:t>水表计量</w:t>
            </w:r>
          </w:p>
        </w:tc>
        <w:tc>
          <w:tcPr>
            <w:tcW w:w="1353" w:type="pct"/>
            <w:vAlign w:val="center"/>
          </w:tcPr>
          <w:p w14:paraId="0DF88047">
            <w:pPr>
              <w:pStyle w:val="182"/>
            </w:pPr>
            <w:r>
              <w:rPr>
                <w:rFonts w:hAnsi="宋体" w:cs="Segoe UI"/>
                <w:color w:val="000000"/>
                <w:szCs w:val="18"/>
                <w:lang w:bidi="ar"/>
              </w:rPr>
              <w:t>碱洗-酸洗-终淋分级记录</w:t>
            </w:r>
          </w:p>
        </w:tc>
        <w:tc>
          <w:tcPr>
            <w:tcW w:w="1195" w:type="pct"/>
            <w:vAlign w:val="center"/>
          </w:tcPr>
          <w:p w14:paraId="115DD433">
            <w:pPr>
              <w:pStyle w:val="182"/>
            </w:pPr>
            <w:r>
              <w:rPr>
                <w:rFonts w:hAnsi="宋体" w:cs="Segoe UI"/>
                <w:color w:val="000000"/>
                <w:szCs w:val="18"/>
                <w:lang w:bidi="ar"/>
              </w:rPr>
              <w:t>—</w:t>
            </w:r>
          </w:p>
        </w:tc>
      </w:tr>
      <w:tr w14:paraId="56400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0CA48D89">
            <w:pPr>
              <w:pStyle w:val="182"/>
            </w:pPr>
            <w:r>
              <w:rPr>
                <w:rFonts w:hAnsi="宋体" w:cs="Segoe UI"/>
                <w:color w:val="000000"/>
                <w:szCs w:val="18"/>
                <w:lang w:bidi="ar"/>
              </w:rPr>
              <w:t>R134a充装精度</w:t>
            </w:r>
          </w:p>
        </w:tc>
        <w:tc>
          <w:tcPr>
            <w:tcW w:w="491" w:type="pct"/>
            <w:vAlign w:val="center"/>
          </w:tcPr>
          <w:p w14:paraId="1FD67FA3">
            <w:pPr>
              <w:pStyle w:val="182"/>
            </w:pPr>
            <w:r>
              <w:rPr>
                <w:rFonts w:hAnsi="宋体" w:cs="Segoe UI"/>
                <w:color w:val="000000"/>
                <w:szCs w:val="18"/>
                <w:lang w:bidi="ar"/>
              </w:rPr>
              <w:t>kg</w:t>
            </w:r>
          </w:p>
        </w:tc>
        <w:tc>
          <w:tcPr>
            <w:tcW w:w="437" w:type="pct"/>
            <w:vAlign w:val="center"/>
          </w:tcPr>
          <w:p w14:paraId="02EB52E8">
            <w:pPr>
              <w:pStyle w:val="182"/>
            </w:pPr>
          </w:p>
        </w:tc>
        <w:tc>
          <w:tcPr>
            <w:tcW w:w="653" w:type="pct"/>
            <w:vAlign w:val="center"/>
          </w:tcPr>
          <w:p w14:paraId="18D834B9">
            <w:pPr>
              <w:pStyle w:val="182"/>
            </w:pPr>
            <w:r>
              <w:rPr>
                <w:rFonts w:hAnsi="宋体" w:cs="Segoe UI"/>
                <w:color w:val="000000"/>
                <w:szCs w:val="18"/>
                <w:lang w:bidi="ar"/>
              </w:rPr>
              <w:t>充装秤校准</w:t>
            </w:r>
          </w:p>
        </w:tc>
        <w:tc>
          <w:tcPr>
            <w:tcW w:w="1353" w:type="pct"/>
            <w:vAlign w:val="center"/>
          </w:tcPr>
          <w:p w14:paraId="396B57A7">
            <w:pPr>
              <w:pStyle w:val="182"/>
            </w:pPr>
            <w:r>
              <w:rPr>
                <w:rFonts w:hAnsi="宋体" w:cs="Segoe UI"/>
                <w:color w:val="000000"/>
                <w:szCs w:val="18"/>
                <w:lang w:bidi="ar"/>
              </w:rPr>
              <w:t>≤±0.1kg</w:t>
            </w:r>
          </w:p>
        </w:tc>
        <w:tc>
          <w:tcPr>
            <w:tcW w:w="1195" w:type="pct"/>
            <w:vAlign w:val="center"/>
          </w:tcPr>
          <w:p w14:paraId="660E8638">
            <w:pPr>
              <w:pStyle w:val="182"/>
            </w:pPr>
            <w:r>
              <w:rPr>
                <w:rFonts w:hAnsi="宋体" w:cs="Segoe UI"/>
                <w:color w:val="000000"/>
                <w:szCs w:val="18"/>
                <w:lang w:bidi="ar"/>
              </w:rPr>
              <w:t>—</w:t>
            </w:r>
          </w:p>
        </w:tc>
      </w:tr>
      <w:tr w14:paraId="26135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71B5A64E">
            <w:pPr>
              <w:pStyle w:val="182"/>
            </w:pPr>
            <w:r>
              <w:rPr>
                <w:rFonts w:hAnsi="宋体" w:cs="Segoe UI"/>
                <w:color w:val="000000"/>
                <w:szCs w:val="18"/>
                <w:lang w:bidi="ar"/>
              </w:rPr>
              <w:t>储罐年检泄漏率</w:t>
            </w:r>
          </w:p>
        </w:tc>
        <w:tc>
          <w:tcPr>
            <w:tcW w:w="491" w:type="pct"/>
            <w:vAlign w:val="center"/>
          </w:tcPr>
          <w:p w14:paraId="60BA0222">
            <w:pPr>
              <w:pStyle w:val="182"/>
            </w:pPr>
            <w:r>
              <w:rPr>
                <w:rFonts w:hAnsi="宋体" w:cs="Segoe UI"/>
                <w:color w:val="000000"/>
                <w:szCs w:val="18"/>
                <w:lang w:bidi="ar"/>
              </w:rPr>
              <w:t>%</w:t>
            </w:r>
          </w:p>
        </w:tc>
        <w:tc>
          <w:tcPr>
            <w:tcW w:w="437" w:type="pct"/>
            <w:vAlign w:val="center"/>
          </w:tcPr>
          <w:p w14:paraId="5AF0BFAC">
            <w:pPr>
              <w:pStyle w:val="182"/>
            </w:pPr>
          </w:p>
        </w:tc>
        <w:tc>
          <w:tcPr>
            <w:tcW w:w="653" w:type="pct"/>
            <w:vAlign w:val="center"/>
          </w:tcPr>
          <w:p w14:paraId="60F603D9">
            <w:pPr>
              <w:pStyle w:val="182"/>
            </w:pPr>
            <w:r>
              <w:rPr>
                <w:rFonts w:hAnsi="宋体" w:cs="Segoe UI"/>
                <w:color w:val="000000"/>
                <w:szCs w:val="18"/>
                <w:lang w:bidi="ar"/>
              </w:rPr>
              <w:t>年检报告</w:t>
            </w:r>
          </w:p>
        </w:tc>
        <w:tc>
          <w:tcPr>
            <w:tcW w:w="1353" w:type="pct"/>
            <w:vAlign w:val="center"/>
          </w:tcPr>
          <w:p w14:paraId="58FE77EB">
            <w:pPr>
              <w:pStyle w:val="182"/>
            </w:pPr>
            <w:r>
              <w:rPr>
                <w:rFonts w:hAnsi="宋体" w:cs="Segoe UI"/>
                <w:color w:val="000000"/>
                <w:szCs w:val="18"/>
                <w:lang w:bidi="ar"/>
              </w:rPr>
              <w:t>≤0.5%</w:t>
            </w:r>
          </w:p>
        </w:tc>
        <w:tc>
          <w:tcPr>
            <w:tcW w:w="1195" w:type="pct"/>
            <w:vAlign w:val="center"/>
          </w:tcPr>
          <w:p w14:paraId="354B5547">
            <w:pPr>
              <w:pStyle w:val="182"/>
            </w:pPr>
            <w:r>
              <w:rPr>
                <w:rFonts w:hAnsi="宋体" w:cs="Segoe UI"/>
                <w:color w:val="000000"/>
                <w:szCs w:val="18"/>
                <w:lang w:bidi="ar"/>
              </w:rPr>
              <w:t>—</w:t>
            </w:r>
          </w:p>
        </w:tc>
      </w:tr>
      <w:tr w14:paraId="0761D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1" w:type="pct"/>
            <w:vAlign w:val="center"/>
          </w:tcPr>
          <w:p w14:paraId="4EC94E0B">
            <w:pPr>
              <w:pStyle w:val="182"/>
            </w:pPr>
            <w:r>
              <w:rPr>
                <w:rFonts w:hAnsi="宋体" w:cs="Segoe UI"/>
                <w:color w:val="000000"/>
                <w:szCs w:val="18"/>
                <w:lang w:bidi="ar"/>
              </w:rPr>
              <w:t>R404A充装量</w:t>
            </w:r>
          </w:p>
        </w:tc>
        <w:tc>
          <w:tcPr>
            <w:tcW w:w="491" w:type="pct"/>
            <w:vAlign w:val="center"/>
          </w:tcPr>
          <w:p w14:paraId="1BC3D131">
            <w:pPr>
              <w:pStyle w:val="182"/>
            </w:pPr>
            <w:r>
              <w:rPr>
                <w:rFonts w:hAnsi="宋体" w:cs="Segoe UI"/>
                <w:color w:val="000000"/>
                <w:szCs w:val="18"/>
                <w:lang w:bidi="ar"/>
              </w:rPr>
              <w:t>kg/罐</w:t>
            </w:r>
          </w:p>
        </w:tc>
        <w:tc>
          <w:tcPr>
            <w:tcW w:w="437" w:type="pct"/>
            <w:vAlign w:val="center"/>
          </w:tcPr>
          <w:p w14:paraId="423D0C6F">
            <w:pPr>
              <w:pStyle w:val="182"/>
            </w:pPr>
          </w:p>
        </w:tc>
        <w:tc>
          <w:tcPr>
            <w:tcW w:w="653" w:type="pct"/>
            <w:vAlign w:val="center"/>
          </w:tcPr>
          <w:p w14:paraId="3B12CAAD">
            <w:pPr>
              <w:pStyle w:val="182"/>
            </w:pPr>
            <w:r>
              <w:rPr>
                <w:rFonts w:hAnsi="宋体" w:cs="Segoe UI"/>
                <w:color w:val="000000"/>
                <w:szCs w:val="18"/>
                <w:lang w:bidi="ar"/>
              </w:rPr>
              <w:t>充装记录</w:t>
            </w:r>
          </w:p>
        </w:tc>
        <w:tc>
          <w:tcPr>
            <w:tcW w:w="1353" w:type="pct"/>
            <w:vAlign w:val="center"/>
          </w:tcPr>
          <w:p w14:paraId="5AF62C35">
            <w:pPr>
              <w:pStyle w:val="182"/>
            </w:pPr>
            <w:r>
              <w:rPr>
                <w:rFonts w:hAnsi="宋体" w:cs="Segoe UI"/>
                <w:color w:val="000000"/>
                <w:szCs w:val="18"/>
                <w:lang w:bidi="ar"/>
              </w:rPr>
              <w:t>—</w:t>
            </w:r>
          </w:p>
        </w:tc>
        <w:tc>
          <w:tcPr>
            <w:tcW w:w="1195" w:type="pct"/>
            <w:vAlign w:val="center"/>
          </w:tcPr>
          <w:p w14:paraId="310AD388">
            <w:pPr>
              <w:pStyle w:val="182"/>
            </w:pPr>
            <w:r>
              <w:rPr>
                <w:rFonts w:hAnsi="宋体" w:cs="Segoe UI"/>
                <w:color w:val="000000"/>
                <w:szCs w:val="18"/>
                <w:lang w:bidi="ar"/>
              </w:rPr>
              <w:t>—</w:t>
            </w:r>
          </w:p>
        </w:tc>
      </w:tr>
    </w:tbl>
    <w:p w14:paraId="50D84091">
      <w:pPr>
        <w:pStyle w:val="60"/>
        <w:ind w:firstLine="420"/>
      </w:pPr>
    </w:p>
    <w:p w14:paraId="1331E0BB">
      <w:pPr>
        <w:pStyle w:val="60"/>
        <w:ind w:firstLine="420"/>
      </w:pPr>
    </w:p>
    <w:p w14:paraId="7B87288B">
      <w:pPr>
        <w:pStyle w:val="60"/>
        <w:ind w:firstLine="420"/>
      </w:pPr>
    </w:p>
    <w:p w14:paraId="0B2B48B2">
      <w:pPr>
        <w:pStyle w:val="60"/>
        <w:ind w:firstLine="420"/>
      </w:pPr>
    </w:p>
    <w:p w14:paraId="1690933B">
      <w:pPr>
        <w:pStyle w:val="60"/>
        <w:ind w:firstLine="420"/>
      </w:pPr>
    </w:p>
    <w:p w14:paraId="436D0B9C">
      <w:pPr>
        <w:pStyle w:val="60"/>
        <w:ind w:firstLine="420"/>
      </w:pPr>
    </w:p>
    <w:p w14:paraId="49633CF5">
      <w:pPr>
        <w:pStyle w:val="60"/>
        <w:ind w:firstLine="420"/>
      </w:pPr>
    </w:p>
    <w:p w14:paraId="7F26624F">
      <w:pPr>
        <w:pStyle w:val="60"/>
        <w:ind w:firstLine="420"/>
      </w:pPr>
    </w:p>
    <w:p w14:paraId="7E9672B2">
      <w:pPr>
        <w:pStyle w:val="60"/>
        <w:ind w:firstLine="420"/>
      </w:pPr>
    </w:p>
    <w:p w14:paraId="6CBB1C8F">
      <w:pPr>
        <w:pStyle w:val="60"/>
        <w:ind w:firstLine="420"/>
      </w:pPr>
    </w:p>
    <w:p w14:paraId="61438A91">
      <w:pPr>
        <w:pStyle w:val="60"/>
        <w:ind w:firstLine="420"/>
      </w:pPr>
    </w:p>
    <w:p w14:paraId="7727B6D0">
      <w:pPr>
        <w:pStyle w:val="60"/>
        <w:ind w:firstLine="420"/>
      </w:pPr>
      <w:r>
        <w:rPr>
          <w:rFonts w:hint="eastAsia"/>
        </w:rPr>
        <w:t>生产加工阶段数据采集表见表A.2。</w:t>
      </w:r>
    </w:p>
    <w:p w14:paraId="499D371B">
      <w:pPr>
        <w:pStyle w:val="81"/>
        <w:spacing w:before="120" w:after="120"/>
      </w:pPr>
      <w:r>
        <w:rPr>
          <w:rFonts w:hint="eastAsia"/>
        </w:rPr>
        <w:t>生产加工阶段数据采集表</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3"/>
        <w:gridCol w:w="1563"/>
        <w:gridCol w:w="1562"/>
        <w:gridCol w:w="1562"/>
        <w:gridCol w:w="1564"/>
        <w:gridCol w:w="1560"/>
      </w:tblGrid>
      <w:tr w14:paraId="27850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4" w:type="pct"/>
            <w:tcBorders>
              <w:top w:val="single" w:color="auto" w:sz="8" w:space="0"/>
              <w:bottom w:val="single" w:color="auto" w:sz="8" w:space="0"/>
            </w:tcBorders>
            <w:vAlign w:val="center"/>
          </w:tcPr>
          <w:p w14:paraId="2F57F63A">
            <w:pPr>
              <w:pStyle w:val="182"/>
            </w:pPr>
            <w:r>
              <w:rPr>
                <w:rFonts w:hAnsi="宋体" w:cs="Segoe UI"/>
                <w:color w:val="000000"/>
                <w:szCs w:val="18"/>
                <w:lang w:bidi="ar"/>
              </w:rPr>
              <w:t>工序</w:t>
            </w:r>
          </w:p>
        </w:tc>
        <w:tc>
          <w:tcPr>
            <w:tcW w:w="834" w:type="pct"/>
            <w:tcBorders>
              <w:top w:val="single" w:color="auto" w:sz="8" w:space="0"/>
              <w:bottom w:val="single" w:color="auto" w:sz="8" w:space="0"/>
            </w:tcBorders>
            <w:vAlign w:val="center"/>
          </w:tcPr>
          <w:p w14:paraId="5C8DECBB">
            <w:pPr>
              <w:pStyle w:val="182"/>
            </w:pPr>
            <w:r>
              <w:rPr>
                <w:rFonts w:hAnsi="宋体" w:cs="Segoe UI"/>
                <w:color w:val="000000"/>
                <w:szCs w:val="18"/>
                <w:lang w:bidi="ar"/>
              </w:rPr>
              <w:t>单位</w:t>
            </w:r>
          </w:p>
        </w:tc>
        <w:tc>
          <w:tcPr>
            <w:tcW w:w="833" w:type="pct"/>
            <w:tcBorders>
              <w:top w:val="single" w:color="auto" w:sz="8" w:space="0"/>
              <w:bottom w:val="single" w:color="auto" w:sz="8" w:space="0"/>
            </w:tcBorders>
            <w:vAlign w:val="center"/>
          </w:tcPr>
          <w:p w14:paraId="4BBF9DB8">
            <w:pPr>
              <w:pStyle w:val="182"/>
            </w:pPr>
            <w:r>
              <w:rPr>
                <w:rFonts w:hAnsi="宋体" w:cs="Segoe UI"/>
                <w:color w:val="000000"/>
                <w:szCs w:val="18"/>
                <w:lang w:bidi="ar"/>
              </w:rPr>
              <w:t>填写区域</w:t>
            </w:r>
          </w:p>
        </w:tc>
        <w:tc>
          <w:tcPr>
            <w:tcW w:w="833" w:type="pct"/>
            <w:tcBorders>
              <w:top w:val="single" w:color="auto" w:sz="8" w:space="0"/>
              <w:bottom w:val="single" w:color="auto" w:sz="8" w:space="0"/>
            </w:tcBorders>
            <w:vAlign w:val="center"/>
          </w:tcPr>
          <w:p w14:paraId="1112893E">
            <w:pPr>
              <w:pStyle w:val="182"/>
            </w:pPr>
            <w:r>
              <w:rPr>
                <w:rFonts w:hAnsi="宋体" w:cs="Segoe UI"/>
                <w:color w:val="000000"/>
                <w:szCs w:val="18"/>
                <w:lang w:bidi="ar"/>
              </w:rPr>
              <w:t>采集指引</w:t>
            </w:r>
          </w:p>
        </w:tc>
        <w:tc>
          <w:tcPr>
            <w:tcW w:w="834" w:type="pct"/>
            <w:tcBorders>
              <w:top w:val="single" w:color="auto" w:sz="8" w:space="0"/>
              <w:bottom w:val="single" w:color="auto" w:sz="8" w:space="0"/>
            </w:tcBorders>
            <w:vAlign w:val="center"/>
          </w:tcPr>
          <w:p w14:paraId="0F27CA7F">
            <w:pPr>
              <w:pStyle w:val="182"/>
            </w:pPr>
            <w:r>
              <w:rPr>
                <w:rFonts w:hint="eastAsia" w:hAnsi="宋体" w:cs="宋体"/>
                <w:color w:val="000000"/>
                <w:szCs w:val="18"/>
                <w:lang w:bidi="ar"/>
              </w:rPr>
              <w:t>采集频次</w:t>
            </w:r>
          </w:p>
        </w:tc>
        <w:tc>
          <w:tcPr>
            <w:tcW w:w="834" w:type="pct"/>
            <w:tcBorders>
              <w:top w:val="single" w:color="auto" w:sz="8" w:space="0"/>
              <w:bottom w:val="single" w:color="auto" w:sz="8" w:space="0"/>
            </w:tcBorders>
            <w:vAlign w:val="center"/>
          </w:tcPr>
          <w:p w14:paraId="04901BBE">
            <w:pPr>
              <w:pStyle w:val="182"/>
            </w:pPr>
            <w:r>
              <w:rPr>
                <w:rFonts w:hAnsi="宋体" w:cs="Segoe UI"/>
                <w:color w:val="000000"/>
                <w:szCs w:val="18"/>
                <w:lang w:bidi="ar"/>
              </w:rPr>
              <w:t>关键控制点</w:t>
            </w:r>
          </w:p>
        </w:tc>
      </w:tr>
      <w:tr w14:paraId="59C50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tcBorders>
              <w:top w:val="single" w:color="auto" w:sz="8" w:space="0"/>
            </w:tcBorders>
            <w:vAlign w:val="center"/>
          </w:tcPr>
          <w:p w14:paraId="351B5EE1">
            <w:pPr>
              <w:pStyle w:val="182"/>
            </w:pPr>
            <w:r>
              <w:rPr>
                <w:rFonts w:hAnsi="宋体" w:cs="Segoe UI"/>
                <w:color w:val="000000"/>
                <w:szCs w:val="18"/>
                <w:lang w:bidi="ar"/>
              </w:rPr>
              <w:t>原料预处理</w:t>
            </w:r>
            <w:r>
              <w:rPr>
                <w:rFonts w:ascii="Times New Roman"/>
                <w:color w:val="000000"/>
                <w:szCs w:val="18"/>
                <w:lang w:bidi="ar"/>
              </w:rPr>
              <w:t>​</w:t>
            </w:r>
          </w:p>
        </w:tc>
        <w:tc>
          <w:tcPr>
            <w:tcW w:w="834" w:type="pct"/>
            <w:tcBorders>
              <w:top w:val="single" w:color="auto" w:sz="8" w:space="0"/>
            </w:tcBorders>
            <w:vAlign w:val="center"/>
          </w:tcPr>
          <w:p w14:paraId="7613A298">
            <w:pPr>
              <w:pStyle w:val="182"/>
            </w:pPr>
          </w:p>
        </w:tc>
        <w:tc>
          <w:tcPr>
            <w:tcW w:w="833" w:type="pct"/>
            <w:tcBorders>
              <w:top w:val="single" w:color="auto" w:sz="8" w:space="0"/>
            </w:tcBorders>
            <w:vAlign w:val="center"/>
          </w:tcPr>
          <w:p w14:paraId="6A519EA5">
            <w:pPr>
              <w:pStyle w:val="182"/>
            </w:pPr>
          </w:p>
        </w:tc>
        <w:tc>
          <w:tcPr>
            <w:tcW w:w="833" w:type="pct"/>
            <w:tcBorders>
              <w:top w:val="single" w:color="auto" w:sz="8" w:space="0"/>
            </w:tcBorders>
            <w:vAlign w:val="center"/>
          </w:tcPr>
          <w:p w14:paraId="584022D7">
            <w:pPr>
              <w:pStyle w:val="182"/>
            </w:pPr>
          </w:p>
        </w:tc>
        <w:tc>
          <w:tcPr>
            <w:tcW w:w="834" w:type="pct"/>
            <w:tcBorders>
              <w:top w:val="single" w:color="auto" w:sz="8" w:space="0"/>
            </w:tcBorders>
            <w:vAlign w:val="center"/>
          </w:tcPr>
          <w:p w14:paraId="2F857875">
            <w:pPr>
              <w:pStyle w:val="182"/>
            </w:pPr>
          </w:p>
        </w:tc>
        <w:tc>
          <w:tcPr>
            <w:tcW w:w="834" w:type="pct"/>
            <w:tcBorders>
              <w:top w:val="single" w:color="auto" w:sz="8" w:space="0"/>
            </w:tcBorders>
            <w:vAlign w:val="center"/>
          </w:tcPr>
          <w:p w14:paraId="2E6AFEFD">
            <w:pPr>
              <w:pStyle w:val="182"/>
            </w:pPr>
          </w:p>
        </w:tc>
      </w:tr>
      <w:tr w14:paraId="06E8A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34" w:type="pct"/>
            <w:vAlign w:val="center"/>
          </w:tcPr>
          <w:p w14:paraId="775BB930">
            <w:pPr>
              <w:pStyle w:val="182"/>
            </w:pPr>
            <w:r>
              <w:rPr>
                <w:rFonts w:hAnsi="宋体" w:cs="Segoe UI"/>
                <w:color w:val="000000"/>
                <w:szCs w:val="18"/>
                <w:lang w:bidi="ar"/>
              </w:rPr>
              <w:t>抗生素合格率</w:t>
            </w:r>
          </w:p>
        </w:tc>
        <w:tc>
          <w:tcPr>
            <w:tcW w:w="834" w:type="pct"/>
            <w:vAlign w:val="center"/>
          </w:tcPr>
          <w:p w14:paraId="14DC4BE5">
            <w:pPr>
              <w:pStyle w:val="182"/>
            </w:pPr>
            <w:r>
              <w:rPr>
                <w:rFonts w:hAnsi="宋体" w:cs="Segoe UI"/>
                <w:color w:val="000000"/>
                <w:szCs w:val="18"/>
                <w:lang w:bidi="ar"/>
              </w:rPr>
              <w:t>%</w:t>
            </w:r>
          </w:p>
        </w:tc>
        <w:tc>
          <w:tcPr>
            <w:tcW w:w="833" w:type="pct"/>
            <w:vAlign w:val="center"/>
          </w:tcPr>
          <w:p w14:paraId="62584191">
            <w:pPr>
              <w:pStyle w:val="182"/>
            </w:pPr>
          </w:p>
        </w:tc>
        <w:tc>
          <w:tcPr>
            <w:tcW w:w="833" w:type="pct"/>
            <w:vAlign w:val="center"/>
          </w:tcPr>
          <w:p w14:paraId="6ED84C69">
            <w:pPr>
              <w:pStyle w:val="182"/>
            </w:pPr>
            <w:r>
              <w:rPr>
                <w:rFonts w:hAnsi="宋体" w:cs="Segoe UI"/>
                <w:color w:val="000000"/>
                <w:szCs w:val="18"/>
                <w:lang w:bidi="ar"/>
              </w:rPr>
              <w:t>检测报告</w:t>
            </w:r>
          </w:p>
        </w:tc>
        <w:tc>
          <w:tcPr>
            <w:tcW w:w="834" w:type="pct"/>
            <w:vAlign w:val="center"/>
          </w:tcPr>
          <w:p w14:paraId="7AF85832">
            <w:pPr>
              <w:pStyle w:val="182"/>
            </w:pPr>
            <w:r>
              <w:rPr>
                <w:rFonts w:hAnsi="宋体" w:cs="Segoe UI"/>
                <w:color w:val="000000"/>
                <w:szCs w:val="18"/>
                <w:lang w:bidi="ar"/>
              </w:rPr>
              <w:t>每批检测</w:t>
            </w:r>
          </w:p>
        </w:tc>
        <w:tc>
          <w:tcPr>
            <w:tcW w:w="834" w:type="pct"/>
            <w:vAlign w:val="center"/>
          </w:tcPr>
          <w:p w14:paraId="245C6057">
            <w:pPr>
              <w:pStyle w:val="182"/>
            </w:pPr>
            <w:r>
              <w:rPr>
                <w:rFonts w:hAnsi="宋体" w:cs="Segoe UI"/>
                <w:color w:val="000000"/>
                <w:szCs w:val="18"/>
                <w:lang w:bidi="ar"/>
              </w:rPr>
              <w:t>≥99.5%</w:t>
            </w:r>
          </w:p>
        </w:tc>
      </w:tr>
      <w:tr w14:paraId="291E4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271826B2">
            <w:pPr>
              <w:pStyle w:val="182"/>
            </w:pPr>
            <w:r>
              <w:rPr>
                <w:rFonts w:hAnsi="宋体" w:cs="Segoe UI"/>
                <w:color w:val="000000"/>
                <w:szCs w:val="18"/>
                <w:lang w:bidi="ar"/>
              </w:rPr>
              <w:t>抗生素检测频次</w:t>
            </w:r>
          </w:p>
        </w:tc>
        <w:tc>
          <w:tcPr>
            <w:tcW w:w="834" w:type="pct"/>
            <w:vAlign w:val="center"/>
          </w:tcPr>
          <w:p w14:paraId="649149B6">
            <w:pPr>
              <w:pStyle w:val="182"/>
            </w:pPr>
            <w:r>
              <w:rPr>
                <w:rFonts w:hAnsi="宋体" w:cs="Segoe UI"/>
                <w:color w:val="000000"/>
                <w:szCs w:val="18"/>
                <w:lang w:bidi="ar"/>
              </w:rPr>
              <w:t>次/批</w:t>
            </w:r>
          </w:p>
        </w:tc>
        <w:tc>
          <w:tcPr>
            <w:tcW w:w="833" w:type="pct"/>
            <w:vAlign w:val="center"/>
          </w:tcPr>
          <w:p w14:paraId="34C5BD29">
            <w:pPr>
              <w:pStyle w:val="182"/>
            </w:pPr>
          </w:p>
        </w:tc>
        <w:tc>
          <w:tcPr>
            <w:tcW w:w="833" w:type="pct"/>
            <w:vAlign w:val="center"/>
          </w:tcPr>
          <w:p w14:paraId="20F692E8">
            <w:pPr>
              <w:pStyle w:val="182"/>
            </w:pPr>
            <w:r>
              <w:rPr>
                <w:rFonts w:hAnsi="宋体" w:cs="Segoe UI"/>
                <w:color w:val="000000"/>
                <w:szCs w:val="18"/>
                <w:lang w:bidi="ar"/>
              </w:rPr>
              <w:t>质检记录</w:t>
            </w:r>
          </w:p>
        </w:tc>
        <w:tc>
          <w:tcPr>
            <w:tcW w:w="834" w:type="pct"/>
            <w:vAlign w:val="center"/>
          </w:tcPr>
          <w:p w14:paraId="2E6E8CEC">
            <w:pPr>
              <w:pStyle w:val="182"/>
            </w:pPr>
            <w:r>
              <w:rPr>
                <w:rFonts w:hAnsi="宋体" w:cs="Segoe UI"/>
                <w:color w:val="000000"/>
                <w:szCs w:val="18"/>
                <w:lang w:bidi="ar"/>
              </w:rPr>
              <w:t>GB 4789.27</w:t>
            </w:r>
          </w:p>
        </w:tc>
        <w:tc>
          <w:tcPr>
            <w:tcW w:w="834" w:type="pct"/>
            <w:vAlign w:val="center"/>
          </w:tcPr>
          <w:p w14:paraId="62210DE1">
            <w:pPr>
              <w:pStyle w:val="182"/>
            </w:pPr>
            <w:r>
              <w:rPr>
                <w:rFonts w:hAnsi="宋体" w:cs="Segoe UI"/>
                <w:color w:val="000000"/>
                <w:szCs w:val="18"/>
                <w:lang w:bidi="ar"/>
              </w:rPr>
              <w:t>—</w:t>
            </w:r>
          </w:p>
        </w:tc>
      </w:tr>
      <w:tr w14:paraId="6CE2E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0A06029B">
            <w:pPr>
              <w:pStyle w:val="182"/>
            </w:pPr>
            <w:r>
              <w:rPr>
                <w:rFonts w:hAnsi="宋体" w:cs="Segoe UI"/>
                <w:color w:val="000000"/>
                <w:szCs w:val="18"/>
                <w:lang w:bidi="ar"/>
              </w:rPr>
              <w:t>冰点检测值</w:t>
            </w:r>
          </w:p>
        </w:tc>
        <w:tc>
          <w:tcPr>
            <w:tcW w:w="834" w:type="pct"/>
            <w:vAlign w:val="center"/>
          </w:tcPr>
          <w:p w14:paraId="239EA610">
            <w:pPr>
              <w:pStyle w:val="182"/>
            </w:pPr>
            <w:r>
              <w:rPr>
                <w:rFonts w:hAnsi="宋体" w:cs="Segoe UI"/>
                <w:color w:val="000000"/>
                <w:szCs w:val="18"/>
                <w:lang w:bidi="ar"/>
              </w:rPr>
              <w:t>℃</w:t>
            </w:r>
          </w:p>
        </w:tc>
        <w:tc>
          <w:tcPr>
            <w:tcW w:w="833" w:type="pct"/>
            <w:vAlign w:val="center"/>
          </w:tcPr>
          <w:p w14:paraId="18557EAB">
            <w:pPr>
              <w:pStyle w:val="182"/>
            </w:pPr>
          </w:p>
        </w:tc>
        <w:tc>
          <w:tcPr>
            <w:tcW w:w="833" w:type="pct"/>
            <w:vAlign w:val="center"/>
          </w:tcPr>
          <w:p w14:paraId="22E92B35">
            <w:pPr>
              <w:pStyle w:val="182"/>
            </w:pPr>
            <w:r>
              <w:rPr>
                <w:rFonts w:hAnsi="宋体" w:cs="Segoe UI"/>
                <w:color w:val="000000"/>
                <w:szCs w:val="18"/>
                <w:lang w:bidi="ar"/>
              </w:rPr>
              <w:t>冰点仪</w:t>
            </w:r>
          </w:p>
        </w:tc>
        <w:tc>
          <w:tcPr>
            <w:tcW w:w="834" w:type="pct"/>
            <w:vAlign w:val="center"/>
          </w:tcPr>
          <w:p w14:paraId="662B55DC">
            <w:pPr>
              <w:pStyle w:val="182"/>
            </w:pPr>
            <w:r>
              <w:rPr>
                <w:rFonts w:hAnsi="宋体" w:cs="Segoe UI"/>
                <w:color w:val="000000"/>
                <w:szCs w:val="18"/>
                <w:lang w:bidi="ar"/>
              </w:rPr>
              <w:t>-0.500~-0.550℃</w:t>
            </w:r>
          </w:p>
        </w:tc>
        <w:tc>
          <w:tcPr>
            <w:tcW w:w="834" w:type="pct"/>
            <w:vAlign w:val="center"/>
          </w:tcPr>
          <w:p w14:paraId="2789CF4F">
            <w:pPr>
              <w:pStyle w:val="182"/>
            </w:pPr>
            <w:r>
              <w:rPr>
                <w:rFonts w:hAnsi="宋体" w:cs="Segoe UI"/>
                <w:color w:val="000000"/>
                <w:szCs w:val="18"/>
                <w:lang w:bidi="ar"/>
              </w:rPr>
              <w:t>—</w:t>
            </w:r>
          </w:p>
        </w:tc>
      </w:tr>
      <w:tr w14:paraId="10523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57347752">
            <w:pPr>
              <w:pStyle w:val="182"/>
            </w:pPr>
            <w:r>
              <w:rPr>
                <w:rFonts w:hAnsi="宋体" w:cs="Segoe UI"/>
                <w:color w:val="000000"/>
                <w:szCs w:val="18"/>
                <w:lang w:bidi="ar"/>
              </w:rPr>
              <w:t>乳脂率</w:t>
            </w:r>
          </w:p>
        </w:tc>
        <w:tc>
          <w:tcPr>
            <w:tcW w:w="834" w:type="pct"/>
            <w:vAlign w:val="center"/>
          </w:tcPr>
          <w:p w14:paraId="12D26ED1">
            <w:pPr>
              <w:pStyle w:val="182"/>
            </w:pPr>
            <w:r>
              <w:rPr>
                <w:rFonts w:hAnsi="宋体" w:cs="Segoe UI"/>
                <w:color w:val="000000"/>
                <w:szCs w:val="18"/>
                <w:lang w:bidi="ar"/>
              </w:rPr>
              <w:t>%</w:t>
            </w:r>
          </w:p>
        </w:tc>
        <w:tc>
          <w:tcPr>
            <w:tcW w:w="833" w:type="pct"/>
            <w:vAlign w:val="center"/>
          </w:tcPr>
          <w:p w14:paraId="2DF1FC3A">
            <w:pPr>
              <w:pStyle w:val="182"/>
            </w:pPr>
          </w:p>
        </w:tc>
        <w:tc>
          <w:tcPr>
            <w:tcW w:w="833" w:type="pct"/>
            <w:vAlign w:val="center"/>
          </w:tcPr>
          <w:p w14:paraId="37660EAB">
            <w:pPr>
              <w:pStyle w:val="182"/>
            </w:pPr>
            <w:r>
              <w:rPr>
                <w:rFonts w:hAnsi="宋体" w:cs="Segoe UI"/>
                <w:color w:val="000000"/>
                <w:szCs w:val="18"/>
                <w:lang w:bidi="ar"/>
              </w:rPr>
              <w:t>乳成分分析仪</w:t>
            </w:r>
          </w:p>
        </w:tc>
        <w:tc>
          <w:tcPr>
            <w:tcW w:w="834" w:type="pct"/>
            <w:vAlign w:val="center"/>
          </w:tcPr>
          <w:p w14:paraId="614D888A">
            <w:pPr>
              <w:pStyle w:val="182"/>
            </w:pPr>
            <w:r>
              <w:rPr>
                <w:rFonts w:hAnsi="宋体" w:cs="Segoe UI"/>
                <w:color w:val="000000"/>
                <w:szCs w:val="18"/>
                <w:lang w:bidi="ar"/>
              </w:rPr>
              <w:t>每日首检</w:t>
            </w:r>
          </w:p>
        </w:tc>
        <w:tc>
          <w:tcPr>
            <w:tcW w:w="834" w:type="pct"/>
            <w:vAlign w:val="center"/>
          </w:tcPr>
          <w:p w14:paraId="767C0ED7">
            <w:pPr>
              <w:pStyle w:val="182"/>
            </w:pPr>
            <w:r>
              <w:rPr>
                <w:rFonts w:hAnsi="宋体" w:cs="Segoe UI"/>
                <w:color w:val="000000"/>
                <w:szCs w:val="18"/>
                <w:lang w:bidi="ar"/>
              </w:rPr>
              <w:t>—</w:t>
            </w:r>
          </w:p>
        </w:tc>
      </w:tr>
      <w:tr w14:paraId="44B5F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E68377B">
            <w:pPr>
              <w:pStyle w:val="182"/>
            </w:pPr>
            <w:r>
              <w:rPr>
                <w:rFonts w:hAnsi="宋体" w:cs="Segoe UI"/>
                <w:color w:val="000000"/>
                <w:szCs w:val="18"/>
                <w:lang w:bidi="ar"/>
              </w:rPr>
              <w:t>分离机转速</w:t>
            </w:r>
          </w:p>
        </w:tc>
        <w:tc>
          <w:tcPr>
            <w:tcW w:w="834" w:type="pct"/>
            <w:vAlign w:val="center"/>
          </w:tcPr>
          <w:p w14:paraId="3F2546BF">
            <w:pPr>
              <w:pStyle w:val="182"/>
            </w:pPr>
            <w:r>
              <w:rPr>
                <w:rFonts w:hAnsi="宋体" w:cs="Segoe UI"/>
                <w:color w:val="000000"/>
                <w:szCs w:val="18"/>
                <w:lang w:bidi="ar"/>
              </w:rPr>
              <w:t>rpm</w:t>
            </w:r>
          </w:p>
        </w:tc>
        <w:tc>
          <w:tcPr>
            <w:tcW w:w="833" w:type="pct"/>
            <w:vAlign w:val="center"/>
          </w:tcPr>
          <w:p w14:paraId="1417D7CB">
            <w:pPr>
              <w:pStyle w:val="182"/>
            </w:pPr>
          </w:p>
        </w:tc>
        <w:tc>
          <w:tcPr>
            <w:tcW w:w="833" w:type="pct"/>
            <w:vAlign w:val="center"/>
          </w:tcPr>
          <w:p w14:paraId="71BE4861">
            <w:pPr>
              <w:pStyle w:val="182"/>
            </w:pPr>
            <w:r>
              <w:rPr>
                <w:rFonts w:hAnsi="宋体" w:cs="Segoe UI"/>
                <w:color w:val="000000"/>
                <w:szCs w:val="18"/>
                <w:lang w:bidi="ar"/>
              </w:rPr>
              <w:t>变频器显示</w:t>
            </w:r>
          </w:p>
        </w:tc>
        <w:tc>
          <w:tcPr>
            <w:tcW w:w="834" w:type="pct"/>
            <w:vAlign w:val="center"/>
          </w:tcPr>
          <w:p w14:paraId="2BEBB5F0">
            <w:pPr>
              <w:pStyle w:val="182"/>
            </w:pPr>
            <w:r>
              <w:rPr>
                <w:rFonts w:hAnsi="宋体" w:cs="Segoe UI"/>
                <w:color w:val="000000"/>
                <w:szCs w:val="18"/>
                <w:lang w:bidi="ar"/>
              </w:rPr>
              <w:t>设计值±50rpm</w:t>
            </w:r>
          </w:p>
        </w:tc>
        <w:tc>
          <w:tcPr>
            <w:tcW w:w="834" w:type="pct"/>
            <w:vAlign w:val="center"/>
          </w:tcPr>
          <w:p w14:paraId="0CAF860B">
            <w:pPr>
              <w:pStyle w:val="182"/>
            </w:pPr>
            <w:r>
              <w:rPr>
                <w:rFonts w:hAnsi="宋体" w:cs="Segoe UI"/>
                <w:color w:val="000000"/>
                <w:szCs w:val="18"/>
                <w:lang w:bidi="ar"/>
              </w:rPr>
              <w:t>—</w:t>
            </w:r>
          </w:p>
        </w:tc>
      </w:tr>
      <w:tr w14:paraId="6F0AE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14B430DE">
            <w:pPr>
              <w:pStyle w:val="182"/>
            </w:pPr>
            <w:r>
              <w:rPr>
                <w:rFonts w:hAnsi="宋体" w:cs="Segoe UI"/>
                <w:color w:val="000000"/>
                <w:szCs w:val="18"/>
                <w:lang w:bidi="ar"/>
              </w:rPr>
              <w:t>脱气罐真空度</w:t>
            </w:r>
          </w:p>
        </w:tc>
        <w:tc>
          <w:tcPr>
            <w:tcW w:w="834" w:type="pct"/>
            <w:vAlign w:val="center"/>
          </w:tcPr>
          <w:p w14:paraId="5FC36D4B">
            <w:pPr>
              <w:pStyle w:val="182"/>
            </w:pPr>
            <w:r>
              <w:rPr>
                <w:rFonts w:hAnsi="宋体" w:cs="Segoe UI"/>
                <w:color w:val="000000"/>
                <w:szCs w:val="18"/>
                <w:lang w:bidi="ar"/>
              </w:rPr>
              <w:t>-MPa</w:t>
            </w:r>
          </w:p>
        </w:tc>
        <w:tc>
          <w:tcPr>
            <w:tcW w:w="833" w:type="pct"/>
            <w:vAlign w:val="center"/>
          </w:tcPr>
          <w:p w14:paraId="6744BC5F">
            <w:pPr>
              <w:pStyle w:val="182"/>
            </w:pPr>
          </w:p>
        </w:tc>
        <w:tc>
          <w:tcPr>
            <w:tcW w:w="833" w:type="pct"/>
            <w:vAlign w:val="center"/>
          </w:tcPr>
          <w:p w14:paraId="52FB7874">
            <w:pPr>
              <w:pStyle w:val="182"/>
            </w:pPr>
            <w:r>
              <w:rPr>
                <w:rFonts w:hAnsi="宋体" w:cs="Segoe UI"/>
                <w:color w:val="000000"/>
                <w:szCs w:val="18"/>
                <w:lang w:bidi="ar"/>
              </w:rPr>
              <w:t>真空表</w:t>
            </w:r>
          </w:p>
        </w:tc>
        <w:tc>
          <w:tcPr>
            <w:tcW w:w="834" w:type="pct"/>
            <w:vAlign w:val="center"/>
          </w:tcPr>
          <w:p w14:paraId="1448E238">
            <w:pPr>
              <w:pStyle w:val="182"/>
            </w:pPr>
            <w:r>
              <w:rPr>
                <w:rFonts w:hAnsi="宋体" w:cs="Segoe UI"/>
                <w:color w:val="000000"/>
                <w:szCs w:val="18"/>
                <w:lang w:bidi="ar"/>
              </w:rPr>
              <w:t>≥-0.08MPa</w:t>
            </w:r>
          </w:p>
        </w:tc>
        <w:tc>
          <w:tcPr>
            <w:tcW w:w="834" w:type="pct"/>
            <w:vAlign w:val="center"/>
          </w:tcPr>
          <w:p w14:paraId="4B1B3D48">
            <w:pPr>
              <w:pStyle w:val="182"/>
            </w:pPr>
            <w:r>
              <w:rPr>
                <w:rFonts w:hAnsi="宋体" w:cs="Segoe UI"/>
                <w:color w:val="000000"/>
                <w:szCs w:val="18"/>
                <w:lang w:bidi="ar"/>
              </w:rPr>
              <w:t>—</w:t>
            </w:r>
          </w:p>
        </w:tc>
      </w:tr>
      <w:tr w14:paraId="031AC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0FB9FE08">
            <w:pPr>
              <w:pStyle w:val="182"/>
            </w:pPr>
            <w:r>
              <w:rPr>
                <w:rFonts w:hAnsi="宋体" w:cs="Segoe UI"/>
                <w:color w:val="000000"/>
                <w:szCs w:val="18"/>
                <w:lang w:bidi="ar"/>
              </w:rPr>
              <w:t>标准化处理</w:t>
            </w:r>
            <w:r>
              <w:rPr>
                <w:rFonts w:ascii="Times New Roman"/>
                <w:color w:val="000000"/>
                <w:szCs w:val="18"/>
                <w:lang w:bidi="ar"/>
              </w:rPr>
              <w:t>​</w:t>
            </w:r>
          </w:p>
        </w:tc>
        <w:tc>
          <w:tcPr>
            <w:tcW w:w="834" w:type="pct"/>
            <w:vAlign w:val="center"/>
          </w:tcPr>
          <w:p w14:paraId="6D5333DF">
            <w:pPr>
              <w:pStyle w:val="182"/>
            </w:pPr>
          </w:p>
        </w:tc>
        <w:tc>
          <w:tcPr>
            <w:tcW w:w="833" w:type="pct"/>
            <w:vAlign w:val="center"/>
          </w:tcPr>
          <w:p w14:paraId="2BF9F058">
            <w:pPr>
              <w:pStyle w:val="182"/>
            </w:pPr>
          </w:p>
        </w:tc>
        <w:tc>
          <w:tcPr>
            <w:tcW w:w="833" w:type="pct"/>
            <w:vAlign w:val="center"/>
          </w:tcPr>
          <w:p w14:paraId="2E861D09">
            <w:pPr>
              <w:pStyle w:val="182"/>
            </w:pPr>
          </w:p>
        </w:tc>
        <w:tc>
          <w:tcPr>
            <w:tcW w:w="834" w:type="pct"/>
            <w:vAlign w:val="center"/>
          </w:tcPr>
          <w:p w14:paraId="6A14BD88">
            <w:pPr>
              <w:pStyle w:val="182"/>
            </w:pPr>
          </w:p>
        </w:tc>
        <w:tc>
          <w:tcPr>
            <w:tcW w:w="834" w:type="pct"/>
            <w:vAlign w:val="center"/>
          </w:tcPr>
          <w:p w14:paraId="38B7ED63">
            <w:pPr>
              <w:pStyle w:val="182"/>
            </w:pPr>
          </w:p>
        </w:tc>
      </w:tr>
      <w:tr w14:paraId="4C554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548BC00">
            <w:pPr>
              <w:pStyle w:val="182"/>
            </w:pPr>
            <w:r>
              <w:rPr>
                <w:rFonts w:hAnsi="宋体" w:cs="Segoe UI"/>
                <w:color w:val="000000"/>
                <w:szCs w:val="18"/>
                <w:lang w:bidi="ar"/>
              </w:rPr>
              <w:t>轻相脂肪含量</w:t>
            </w:r>
          </w:p>
        </w:tc>
        <w:tc>
          <w:tcPr>
            <w:tcW w:w="834" w:type="pct"/>
            <w:vAlign w:val="center"/>
          </w:tcPr>
          <w:p w14:paraId="42612192">
            <w:pPr>
              <w:pStyle w:val="182"/>
            </w:pPr>
            <w:r>
              <w:rPr>
                <w:rFonts w:hAnsi="宋体" w:cs="Segoe UI"/>
                <w:color w:val="000000"/>
                <w:szCs w:val="18"/>
                <w:lang w:bidi="ar"/>
              </w:rPr>
              <w:t>%</w:t>
            </w:r>
          </w:p>
        </w:tc>
        <w:tc>
          <w:tcPr>
            <w:tcW w:w="833" w:type="pct"/>
            <w:vAlign w:val="center"/>
          </w:tcPr>
          <w:p w14:paraId="2351B927">
            <w:pPr>
              <w:pStyle w:val="182"/>
            </w:pPr>
          </w:p>
        </w:tc>
        <w:tc>
          <w:tcPr>
            <w:tcW w:w="833" w:type="pct"/>
            <w:vAlign w:val="center"/>
          </w:tcPr>
          <w:p w14:paraId="1138E237">
            <w:pPr>
              <w:pStyle w:val="182"/>
            </w:pPr>
            <w:r>
              <w:rPr>
                <w:rFonts w:hAnsi="宋体" w:cs="Segoe UI"/>
                <w:color w:val="000000"/>
                <w:szCs w:val="18"/>
                <w:lang w:bidi="ar"/>
              </w:rPr>
              <w:t>离心检测</w:t>
            </w:r>
          </w:p>
        </w:tc>
        <w:tc>
          <w:tcPr>
            <w:tcW w:w="834" w:type="pct"/>
            <w:vAlign w:val="center"/>
          </w:tcPr>
          <w:p w14:paraId="4E4B11AD">
            <w:pPr>
              <w:pStyle w:val="182"/>
            </w:pPr>
            <w:r>
              <w:rPr>
                <w:rFonts w:hAnsi="宋体" w:cs="Segoe UI"/>
                <w:color w:val="000000"/>
                <w:szCs w:val="18"/>
                <w:lang w:bidi="ar"/>
              </w:rPr>
              <w:t>—</w:t>
            </w:r>
          </w:p>
        </w:tc>
        <w:tc>
          <w:tcPr>
            <w:tcW w:w="834" w:type="pct"/>
            <w:vAlign w:val="center"/>
          </w:tcPr>
          <w:p w14:paraId="30F1EE71">
            <w:pPr>
              <w:pStyle w:val="182"/>
            </w:pPr>
            <w:r>
              <w:rPr>
                <w:rFonts w:hAnsi="宋体" w:cs="Segoe UI"/>
                <w:color w:val="000000"/>
                <w:szCs w:val="18"/>
                <w:lang w:bidi="ar"/>
              </w:rPr>
              <w:t>—</w:t>
            </w:r>
          </w:p>
        </w:tc>
      </w:tr>
      <w:tr w14:paraId="24693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7DC4DDB6">
            <w:pPr>
              <w:pStyle w:val="182"/>
            </w:pPr>
            <w:r>
              <w:rPr>
                <w:rFonts w:hAnsi="宋体" w:cs="Segoe UI"/>
                <w:color w:val="000000"/>
                <w:szCs w:val="18"/>
                <w:lang w:bidi="ar"/>
              </w:rPr>
              <w:t>脂肪回添精度</w:t>
            </w:r>
          </w:p>
        </w:tc>
        <w:tc>
          <w:tcPr>
            <w:tcW w:w="834" w:type="pct"/>
            <w:vAlign w:val="center"/>
          </w:tcPr>
          <w:p w14:paraId="047A8FD9">
            <w:pPr>
              <w:pStyle w:val="182"/>
            </w:pPr>
            <w:r>
              <w:rPr>
                <w:rFonts w:hAnsi="宋体" w:cs="Segoe UI"/>
                <w:color w:val="000000"/>
                <w:szCs w:val="18"/>
                <w:lang w:bidi="ar"/>
              </w:rPr>
              <w:t>±%</w:t>
            </w:r>
          </w:p>
        </w:tc>
        <w:tc>
          <w:tcPr>
            <w:tcW w:w="833" w:type="pct"/>
            <w:vAlign w:val="center"/>
          </w:tcPr>
          <w:p w14:paraId="6CED2DB4">
            <w:pPr>
              <w:pStyle w:val="182"/>
            </w:pPr>
          </w:p>
        </w:tc>
        <w:tc>
          <w:tcPr>
            <w:tcW w:w="833" w:type="pct"/>
            <w:vAlign w:val="center"/>
          </w:tcPr>
          <w:p w14:paraId="61FF433B">
            <w:pPr>
              <w:pStyle w:val="182"/>
            </w:pPr>
            <w:r>
              <w:rPr>
                <w:rFonts w:hAnsi="宋体" w:cs="Segoe UI"/>
                <w:color w:val="000000"/>
                <w:szCs w:val="18"/>
                <w:lang w:bidi="ar"/>
              </w:rPr>
              <w:t>校准证书</w:t>
            </w:r>
          </w:p>
        </w:tc>
        <w:tc>
          <w:tcPr>
            <w:tcW w:w="834" w:type="pct"/>
            <w:vAlign w:val="center"/>
          </w:tcPr>
          <w:p w14:paraId="18C31D8E">
            <w:pPr>
              <w:pStyle w:val="182"/>
            </w:pPr>
            <w:r>
              <w:rPr>
                <w:rFonts w:hAnsi="宋体" w:cs="Segoe UI"/>
                <w:color w:val="000000"/>
                <w:szCs w:val="18"/>
                <w:lang w:bidi="ar"/>
              </w:rPr>
              <w:t>≤±0.1%</w:t>
            </w:r>
          </w:p>
        </w:tc>
        <w:tc>
          <w:tcPr>
            <w:tcW w:w="834" w:type="pct"/>
            <w:vAlign w:val="center"/>
          </w:tcPr>
          <w:p w14:paraId="10519260">
            <w:pPr>
              <w:pStyle w:val="182"/>
            </w:pPr>
            <w:r>
              <w:rPr>
                <w:rFonts w:hAnsi="宋体" w:cs="Segoe UI"/>
                <w:color w:val="000000"/>
                <w:szCs w:val="18"/>
                <w:lang w:bidi="ar"/>
              </w:rPr>
              <w:t>—</w:t>
            </w:r>
          </w:p>
        </w:tc>
      </w:tr>
      <w:tr w14:paraId="063C9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72CE0E8D">
            <w:pPr>
              <w:pStyle w:val="182"/>
            </w:pPr>
            <w:r>
              <w:rPr>
                <w:rFonts w:hAnsi="宋体" w:cs="Segoe UI"/>
                <w:color w:val="000000"/>
                <w:szCs w:val="18"/>
                <w:lang w:bidi="ar"/>
              </w:rPr>
              <w:t>维生素添加量</w:t>
            </w:r>
          </w:p>
        </w:tc>
        <w:tc>
          <w:tcPr>
            <w:tcW w:w="834" w:type="pct"/>
            <w:vAlign w:val="center"/>
          </w:tcPr>
          <w:p w14:paraId="661126A4">
            <w:pPr>
              <w:pStyle w:val="182"/>
            </w:pPr>
            <w:r>
              <w:rPr>
                <w:rFonts w:hAnsi="宋体" w:cs="Segoe UI"/>
                <w:color w:val="000000"/>
                <w:szCs w:val="18"/>
                <w:lang w:bidi="ar"/>
              </w:rPr>
              <w:t>IU/吨</w:t>
            </w:r>
          </w:p>
        </w:tc>
        <w:tc>
          <w:tcPr>
            <w:tcW w:w="833" w:type="pct"/>
            <w:vAlign w:val="center"/>
          </w:tcPr>
          <w:p w14:paraId="3B043F50">
            <w:pPr>
              <w:pStyle w:val="182"/>
            </w:pPr>
          </w:p>
        </w:tc>
        <w:tc>
          <w:tcPr>
            <w:tcW w:w="833" w:type="pct"/>
            <w:vAlign w:val="center"/>
          </w:tcPr>
          <w:p w14:paraId="2CFDC2D2">
            <w:pPr>
              <w:pStyle w:val="182"/>
            </w:pPr>
            <w:r>
              <w:rPr>
                <w:rFonts w:hAnsi="宋体" w:cs="Segoe UI"/>
                <w:color w:val="000000"/>
                <w:szCs w:val="18"/>
                <w:lang w:bidi="ar"/>
              </w:rPr>
              <w:t>投料记录</w:t>
            </w:r>
          </w:p>
        </w:tc>
        <w:tc>
          <w:tcPr>
            <w:tcW w:w="834" w:type="pct"/>
            <w:vAlign w:val="center"/>
          </w:tcPr>
          <w:p w14:paraId="1E27B534">
            <w:pPr>
              <w:pStyle w:val="182"/>
            </w:pPr>
            <w:r>
              <w:rPr>
                <w:rFonts w:hAnsi="宋体" w:cs="Segoe UI"/>
                <w:color w:val="000000"/>
                <w:szCs w:val="18"/>
                <w:lang w:bidi="ar"/>
              </w:rPr>
              <w:t>配方要求±5%</w:t>
            </w:r>
          </w:p>
        </w:tc>
        <w:tc>
          <w:tcPr>
            <w:tcW w:w="834" w:type="pct"/>
            <w:vAlign w:val="center"/>
          </w:tcPr>
          <w:p w14:paraId="745F473B">
            <w:pPr>
              <w:pStyle w:val="182"/>
            </w:pPr>
            <w:r>
              <w:rPr>
                <w:rFonts w:hAnsi="宋体" w:cs="Segoe UI"/>
                <w:color w:val="000000"/>
                <w:szCs w:val="18"/>
                <w:lang w:bidi="ar"/>
              </w:rPr>
              <w:t>—</w:t>
            </w:r>
          </w:p>
        </w:tc>
      </w:tr>
      <w:tr w14:paraId="0EEE7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5E692246">
            <w:pPr>
              <w:pStyle w:val="182"/>
            </w:pPr>
            <w:r>
              <w:rPr>
                <w:rFonts w:hAnsi="宋体" w:cs="Segoe UI"/>
                <w:color w:val="000000"/>
                <w:szCs w:val="18"/>
                <w:lang w:bidi="ar"/>
              </w:rPr>
              <w:t>矿物质投料误差</w:t>
            </w:r>
          </w:p>
        </w:tc>
        <w:tc>
          <w:tcPr>
            <w:tcW w:w="834" w:type="pct"/>
            <w:vAlign w:val="center"/>
          </w:tcPr>
          <w:p w14:paraId="0254AD9A">
            <w:pPr>
              <w:pStyle w:val="182"/>
            </w:pPr>
            <w:r>
              <w:rPr>
                <w:rFonts w:hAnsi="宋体" w:cs="Segoe UI"/>
                <w:color w:val="000000"/>
                <w:szCs w:val="18"/>
                <w:lang w:bidi="ar"/>
              </w:rPr>
              <w:t>kg</w:t>
            </w:r>
          </w:p>
        </w:tc>
        <w:tc>
          <w:tcPr>
            <w:tcW w:w="833" w:type="pct"/>
            <w:vAlign w:val="center"/>
          </w:tcPr>
          <w:p w14:paraId="05949C14">
            <w:pPr>
              <w:pStyle w:val="182"/>
            </w:pPr>
          </w:p>
        </w:tc>
        <w:tc>
          <w:tcPr>
            <w:tcW w:w="833" w:type="pct"/>
            <w:vAlign w:val="center"/>
          </w:tcPr>
          <w:p w14:paraId="31346869">
            <w:pPr>
              <w:pStyle w:val="182"/>
            </w:pPr>
            <w:r>
              <w:rPr>
                <w:rFonts w:hAnsi="宋体" w:cs="Segoe UI"/>
                <w:color w:val="000000"/>
                <w:szCs w:val="18"/>
                <w:lang w:bidi="ar"/>
              </w:rPr>
              <w:t>称重系统</w:t>
            </w:r>
          </w:p>
        </w:tc>
        <w:tc>
          <w:tcPr>
            <w:tcW w:w="834" w:type="pct"/>
            <w:vAlign w:val="center"/>
          </w:tcPr>
          <w:p w14:paraId="42965702">
            <w:pPr>
              <w:pStyle w:val="182"/>
            </w:pPr>
            <w:r>
              <w:rPr>
                <w:rFonts w:hAnsi="宋体" w:cs="Segoe UI"/>
                <w:color w:val="000000"/>
                <w:szCs w:val="18"/>
                <w:lang w:bidi="ar"/>
              </w:rPr>
              <w:t>≤±0.5kg</w:t>
            </w:r>
          </w:p>
        </w:tc>
        <w:tc>
          <w:tcPr>
            <w:tcW w:w="834" w:type="pct"/>
            <w:vAlign w:val="center"/>
          </w:tcPr>
          <w:p w14:paraId="1C94AE46">
            <w:pPr>
              <w:pStyle w:val="182"/>
            </w:pPr>
            <w:r>
              <w:rPr>
                <w:rFonts w:hAnsi="宋体" w:cs="Segoe UI"/>
                <w:color w:val="000000"/>
                <w:szCs w:val="18"/>
                <w:lang w:bidi="ar"/>
              </w:rPr>
              <w:t>—</w:t>
            </w:r>
          </w:p>
        </w:tc>
      </w:tr>
      <w:tr w14:paraId="3AE7B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6DE2A1F0">
            <w:pPr>
              <w:pStyle w:val="182"/>
            </w:pPr>
            <w:r>
              <w:rPr>
                <w:rFonts w:hAnsi="宋体" w:cs="Segoe UI"/>
                <w:color w:val="000000"/>
                <w:szCs w:val="18"/>
                <w:lang w:bidi="ar"/>
              </w:rPr>
              <w:t>热处</w:t>
            </w:r>
            <w:r>
              <w:rPr>
                <w:rFonts w:hint="eastAsia" w:hAnsi="宋体" w:cs="Segoe UI"/>
                <w:color w:val="000000"/>
                <w:szCs w:val="18"/>
                <w:lang w:bidi="ar"/>
              </w:rPr>
              <w:t>理</w:t>
            </w:r>
          </w:p>
        </w:tc>
        <w:tc>
          <w:tcPr>
            <w:tcW w:w="834" w:type="pct"/>
            <w:vAlign w:val="center"/>
          </w:tcPr>
          <w:p w14:paraId="2A6B6A47">
            <w:pPr>
              <w:pStyle w:val="182"/>
            </w:pPr>
          </w:p>
        </w:tc>
        <w:tc>
          <w:tcPr>
            <w:tcW w:w="833" w:type="pct"/>
            <w:vAlign w:val="center"/>
          </w:tcPr>
          <w:p w14:paraId="75D8E375">
            <w:pPr>
              <w:pStyle w:val="182"/>
            </w:pPr>
          </w:p>
        </w:tc>
        <w:tc>
          <w:tcPr>
            <w:tcW w:w="833" w:type="pct"/>
            <w:vAlign w:val="center"/>
          </w:tcPr>
          <w:p w14:paraId="1C9AEC27">
            <w:pPr>
              <w:pStyle w:val="182"/>
            </w:pPr>
          </w:p>
        </w:tc>
        <w:tc>
          <w:tcPr>
            <w:tcW w:w="834" w:type="pct"/>
            <w:vAlign w:val="center"/>
          </w:tcPr>
          <w:p w14:paraId="7E625653">
            <w:pPr>
              <w:pStyle w:val="182"/>
            </w:pPr>
          </w:p>
        </w:tc>
        <w:tc>
          <w:tcPr>
            <w:tcW w:w="834" w:type="pct"/>
            <w:vAlign w:val="center"/>
          </w:tcPr>
          <w:p w14:paraId="1D96BD45">
            <w:pPr>
              <w:pStyle w:val="182"/>
            </w:pPr>
          </w:p>
        </w:tc>
      </w:tr>
      <w:tr w14:paraId="55E42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6583B14E">
            <w:pPr>
              <w:pStyle w:val="182"/>
            </w:pPr>
            <w:r>
              <w:rPr>
                <w:rFonts w:hAnsi="宋体" w:cs="Segoe UI"/>
                <w:color w:val="000000"/>
                <w:szCs w:val="18"/>
                <w:lang w:bidi="ar"/>
              </w:rPr>
              <w:t>板换传热系数</w:t>
            </w:r>
          </w:p>
        </w:tc>
        <w:tc>
          <w:tcPr>
            <w:tcW w:w="834" w:type="pct"/>
            <w:vAlign w:val="center"/>
          </w:tcPr>
          <w:p w14:paraId="0835E783">
            <w:pPr>
              <w:pStyle w:val="182"/>
            </w:pPr>
            <w:r>
              <w:rPr>
                <w:rFonts w:hAnsi="宋体" w:cs="Segoe UI"/>
                <w:color w:val="000000"/>
                <w:szCs w:val="18"/>
                <w:lang w:bidi="ar"/>
              </w:rPr>
              <w:t>W/m²·K</w:t>
            </w:r>
          </w:p>
        </w:tc>
        <w:tc>
          <w:tcPr>
            <w:tcW w:w="833" w:type="pct"/>
            <w:vAlign w:val="center"/>
          </w:tcPr>
          <w:p w14:paraId="16FF4ED4">
            <w:pPr>
              <w:pStyle w:val="182"/>
            </w:pPr>
          </w:p>
        </w:tc>
        <w:tc>
          <w:tcPr>
            <w:tcW w:w="833" w:type="pct"/>
            <w:vAlign w:val="center"/>
          </w:tcPr>
          <w:p w14:paraId="5B7FE45E">
            <w:pPr>
              <w:pStyle w:val="182"/>
            </w:pPr>
            <w:r>
              <w:rPr>
                <w:rFonts w:hAnsi="宋体" w:cs="Segoe UI"/>
                <w:color w:val="000000"/>
                <w:szCs w:val="18"/>
                <w:lang w:bidi="ar"/>
              </w:rPr>
              <w:t>PLC计算</w:t>
            </w:r>
          </w:p>
        </w:tc>
        <w:tc>
          <w:tcPr>
            <w:tcW w:w="834" w:type="pct"/>
            <w:vAlign w:val="center"/>
          </w:tcPr>
          <w:p w14:paraId="5468E3AE">
            <w:pPr>
              <w:pStyle w:val="182"/>
            </w:pPr>
            <w:r>
              <w:rPr>
                <w:rFonts w:hAnsi="宋体" w:cs="Segoe UI"/>
                <w:color w:val="000000"/>
                <w:szCs w:val="18"/>
                <w:lang w:bidi="ar"/>
              </w:rPr>
              <w:t>—</w:t>
            </w:r>
          </w:p>
        </w:tc>
        <w:tc>
          <w:tcPr>
            <w:tcW w:w="834" w:type="pct"/>
            <w:vAlign w:val="center"/>
          </w:tcPr>
          <w:p w14:paraId="56F37BE0">
            <w:pPr>
              <w:pStyle w:val="182"/>
            </w:pPr>
            <w:r>
              <w:rPr>
                <w:rFonts w:hAnsi="宋体" w:cs="Segoe UI"/>
                <w:color w:val="000000"/>
                <w:szCs w:val="18"/>
                <w:lang w:bidi="ar"/>
              </w:rPr>
              <w:t>—</w:t>
            </w:r>
          </w:p>
        </w:tc>
      </w:tr>
      <w:tr w14:paraId="18721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2DF63D50">
            <w:pPr>
              <w:pStyle w:val="182"/>
            </w:pPr>
            <w:r>
              <w:rPr>
                <w:rFonts w:hAnsi="宋体" w:cs="Segoe UI"/>
                <w:color w:val="000000"/>
                <w:szCs w:val="18"/>
                <w:lang w:bidi="ar"/>
              </w:rPr>
              <w:t>热回收段温差</w:t>
            </w:r>
          </w:p>
        </w:tc>
        <w:tc>
          <w:tcPr>
            <w:tcW w:w="834" w:type="pct"/>
            <w:vAlign w:val="center"/>
          </w:tcPr>
          <w:p w14:paraId="5A9AF855">
            <w:pPr>
              <w:pStyle w:val="182"/>
            </w:pPr>
            <w:r>
              <w:rPr>
                <w:rFonts w:hAnsi="宋体" w:cs="Segoe UI"/>
                <w:color w:val="000000"/>
                <w:szCs w:val="18"/>
                <w:lang w:bidi="ar"/>
              </w:rPr>
              <w:t>℃</w:t>
            </w:r>
          </w:p>
        </w:tc>
        <w:tc>
          <w:tcPr>
            <w:tcW w:w="833" w:type="pct"/>
            <w:vAlign w:val="center"/>
          </w:tcPr>
          <w:p w14:paraId="0635BFA8">
            <w:pPr>
              <w:pStyle w:val="182"/>
            </w:pPr>
          </w:p>
        </w:tc>
        <w:tc>
          <w:tcPr>
            <w:tcW w:w="833" w:type="pct"/>
            <w:vAlign w:val="center"/>
          </w:tcPr>
          <w:p w14:paraId="57063D49">
            <w:pPr>
              <w:pStyle w:val="182"/>
            </w:pPr>
            <w:r>
              <w:rPr>
                <w:rFonts w:hAnsi="宋体" w:cs="Segoe UI"/>
                <w:color w:val="000000"/>
                <w:szCs w:val="18"/>
                <w:lang w:bidi="ar"/>
              </w:rPr>
              <w:t>温度传感器</w:t>
            </w:r>
          </w:p>
        </w:tc>
        <w:tc>
          <w:tcPr>
            <w:tcW w:w="834" w:type="pct"/>
            <w:vAlign w:val="center"/>
          </w:tcPr>
          <w:p w14:paraId="256A0EA2">
            <w:pPr>
              <w:pStyle w:val="182"/>
            </w:pPr>
            <w:r>
              <w:rPr>
                <w:rFonts w:hAnsi="宋体" w:cs="Segoe UI"/>
                <w:color w:val="000000"/>
                <w:szCs w:val="18"/>
                <w:lang w:bidi="ar"/>
              </w:rPr>
              <w:t>—</w:t>
            </w:r>
          </w:p>
        </w:tc>
        <w:tc>
          <w:tcPr>
            <w:tcW w:w="834" w:type="pct"/>
            <w:vAlign w:val="center"/>
          </w:tcPr>
          <w:p w14:paraId="70C03304">
            <w:pPr>
              <w:pStyle w:val="182"/>
            </w:pPr>
            <w:r>
              <w:rPr>
                <w:rFonts w:hAnsi="宋体" w:cs="Segoe UI"/>
                <w:color w:val="000000"/>
                <w:szCs w:val="18"/>
                <w:lang w:bidi="ar"/>
              </w:rPr>
              <w:t>—</w:t>
            </w:r>
          </w:p>
        </w:tc>
      </w:tr>
      <w:tr w14:paraId="3A7AF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6CB4E647">
            <w:pPr>
              <w:pStyle w:val="182"/>
            </w:pPr>
            <w:r>
              <w:rPr>
                <w:rFonts w:hAnsi="宋体" w:cs="Segoe UI"/>
                <w:color w:val="000000"/>
                <w:szCs w:val="18"/>
                <w:lang w:bidi="ar"/>
              </w:rPr>
              <w:t>UHT蒸汽压力</w:t>
            </w:r>
          </w:p>
        </w:tc>
        <w:tc>
          <w:tcPr>
            <w:tcW w:w="834" w:type="pct"/>
            <w:vAlign w:val="center"/>
          </w:tcPr>
          <w:p w14:paraId="72F31AFD">
            <w:pPr>
              <w:pStyle w:val="182"/>
            </w:pPr>
            <w:r>
              <w:rPr>
                <w:rFonts w:hAnsi="宋体" w:cs="Segoe UI"/>
                <w:color w:val="000000"/>
                <w:szCs w:val="18"/>
                <w:lang w:bidi="ar"/>
              </w:rPr>
              <w:t>MPa</w:t>
            </w:r>
          </w:p>
        </w:tc>
        <w:tc>
          <w:tcPr>
            <w:tcW w:w="833" w:type="pct"/>
            <w:vAlign w:val="center"/>
          </w:tcPr>
          <w:p w14:paraId="735F5D02">
            <w:pPr>
              <w:pStyle w:val="182"/>
            </w:pPr>
          </w:p>
        </w:tc>
        <w:tc>
          <w:tcPr>
            <w:tcW w:w="833" w:type="pct"/>
            <w:vAlign w:val="center"/>
          </w:tcPr>
          <w:p w14:paraId="2C8014BB">
            <w:pPr>
              <w:pStyle w:val="182"/>
            </w:pPr>
            <w:r>
              <w:rPr>
                <w:rFonts w:hAnsi="宋体" w:cs="Segoe UI"/>
                <w:color w:val="000000"/>
                <w:szCs w:val="18"/>
                <w:lang w:bidi="ar"/>
              </w:rPr>
              <w:t>压力表</w:t>
            </w:r>
          </w:p>
        </w:tc>
        <w:tc>
          <w:tcPr>
            <w:tcW w:w="834" w:type="pct"/>
            <w:vAlign w:val="center"/>
          </w:tcPr>
          <w:p w14:paraId="48A81F47">
            <w:pPr>
              <w:pStyle w:val="182"/>
            </w:pPr>
            <w:r>
              <w:rPr>
                <w:rFonts w:hAnsi="宋体" w:cs="Segoe UI"/>
                <w:color w:val="000000"/>
                <w:szCs w:val="18"/>
                <w:lang w:bidi="ar"/>
              </w:rPr>
              <w:t>1.0±0.2MPa</w:t>
            </w:r>
          </w:p>
        </w:tc>
        <w:tc>
          <w:tcPr>
            <w:tcW w:w="834" w:type="pct"/>
            <w:vAlign w:val="center"/>
          </w:tcPr>
          <w:p w14:paraId="74C4BC5C">
            <w:pPr>
              <w:pStyle w:val="182"/>
            </w:pPr>
            <w:r>
              <w:rPr>
                <w:rFonts w:hAnsi="宋体" w:cs="Segoe UI"/>
                <w:color w:val="000000"/>
                <w:szCs w:val="18"/>
                <w:lang w:bidi="ar"/>
              </w:rPr>
              <w:t>—</w:t>
            </w:r>
          </w:p>
        </w:tc>
      </w:tr>
      <w:tr w14:paraId="08548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1BB7D261">
            <w:pPr>
              <w:pStyle w:val="182"/>
            </w:pPr>
            <w:r>
              <w:rPr>
                <w:rFonts w:hAnsi="宋体" w:cs="Segoe UI"/>
                <w:color w:val="000000"/>
                <w:szCs w:val="18"/>
                <w:lang w:bidi="ar"/>
              </w:rPr>
              <w:t>管式换热结垢系数</w:t>
            </w:r>
          </w:p>
        </w:tc>
        <w:tc>
          <w:tcPr>
            <w:tcW w:w="834" w:type="pct"/>
            <w:vAlign w:val="center"/>
          </w:tcPr>
          <w:p w14:paraId="760E9313">
            <w:pPr>
              <w:pStyle w:val="182"/>
            </w:pPr>
            <w:r>
              <w:rPr>
                <w:rFonts w:hAnsi="宋体" w:cs="Segoe UI"/>
                <w:color w:val="000000"/>
                <w:szCs w:val="18"/>
                <w:lang w:bidi="ar"/>
              </w:rPr>
              <w:t>—</w:t>
            </w:r>
          </w:p>
        </w:tc>
        <w:tc>
          <w:tcPr>
            <w:tcW w:w="833" w:type="pct"/>
            <w:vAlign w:val="center"/>
          </w:tcPr>
          <w:p w14:paraId="282D36D1">
            <w:pPr>
              <w:pStyle w:val="182"/>
            </w:pPr>
          </w:p>
        </w:tc>
        <w:tc>
          <w:tcPr>
            <w:tcW w:w="833" w:type="pct"/>
            <w:vAlign w:val="center"/>
          </w:tcPr>
          <w:p w14:paraId="699CAD97">
            <w:pPr>
              <w:pStyle w:val="182"/>
            </w:pPr>
            <w:r>
              <w:rPr>
                <w:rFonts w:hAnsi="宋体" w:cs="Segoe UI"/>
                <w:color w:val="000000"/>
                <w:szCs w:val="18"/>
                <w:lang w:bidi="ar"/>
              </w:rPr>
              <w:t>压差反推</w:t>
            </w:r>
          </w:p>
        </w:tc>
        <w:tc>
          <w:tcPr>
            <w:tcW w:w="834" w:type="pct"/>
            <w:vAlign w:val="center"/>
          </w:tcPr>
          <w:p w14:paraId="3ABC6681">
            <w:pPr>
              <w:pStyle w:val="182"/>
            </w:pPr>
            <w:r>
              <w:rPr>
                <w:rFonts w:hAnsi="宋体" w:cs="Segoe UI"/>
                <w:color w:val="000000"/>
                <w:szCs w:val="18"/>
                <w:lang w:bidi="ar"/>
              </w:rPr>
              <w:t>≥0.85</w:t>
            </w:r>
          </w:p>
        </w:tc>
        <w:tc>
          <w:tcPr>
            <w:tcW w:w="834" w:type="pct"/>
            <w:vAlign w:val="center"/>
          </w:tcPr>
          <w:p w14:paraId="68B524DF">
            <w:pPr>
              <w:pStyle w:val="182"/>
            </w:pPr>
            <w:r>
              <w:rPr>
                <w:rFonts w:hAnsi="宋体" w:cs="Segoe UI"/>
                <w:color w:val="000000"/>
                <w:szCs w:val="18"/>
                <w:lang w:bidi="ar"/>
              </w:rPr>
              <w:t>每降0.1热效率-5%</w:t>
            </w:r>
          </w:p>
        </w:tc>
      </w:tr>
      <w:tr w14:paraId="566F3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2CC690F9">
            <w:pPr>
              <w:pStyle w:val="182"/>
            </w:pPr>
            <w:r>
              <w:rPr>
                <w:rFonts w:hAnsi="宋体" w:cs="Segoe UI"/>
                <w:color w:val="000000"/>
                <w:szCs w:val="18"/>
                <w:lang w:bidi="ar"/>
              </w:rPr>
              <w:t>冷凝水回用率</w:t>
            </w:r>
          </w:p>
        </w:tc>
        <w:tc>
          <w:tcPr>
            <w:tcW w:w="834" w:type="pct"/>
            <w:vAlign w:val="center"/>
          </w:tcPr>
          <w:p w14:paraId="58B46AA3">
            <w:pPr>
              <w:pStyle w:val="182"/>
            </w:pPr>
            <w:r>
              <w:rPr>
                <w:rFonts w:hAnsi="宋体" w:cs="Segoe UI"/>
                <w:color w:val="000000"/>
                <w:szCs w:val="18"/>
                <w:lang w:bidi="ar"/>
              </w:rPr>
              <w:t>%</w:t>
            </w:r>
          </w:p>
        </w:tc>
        <w:tc>
          <w:tcPr>
            <w:tcW w:w="833" w:type="pct"/>
            <w:vAlign w:val="center"/>
          </w:tcPr>
          <w:p w14:paraId="1C6BC250">
            <w:pPr>
              <w:pStyle w:val="182"/>
            </w:pPr>
          </w:p>
        </w:tc>
        <w:tc>
          <w:tcPr>
            <w:tcW w:w="833" w:type="pct"/>
            <w:vAlign w:val="center"/>
          </w:tcPr>
          <w:p w14:paraId="6D0A3B65">
            <w:pPr>
              <w:pStyle w:val="182"/>
            </w:pPr>
            <w:r>
              <w:rPr>
                <w:rFonts w:hAnsi="宋体" w:cs="Segoe UI"/>
                <w:color w:val="000000"/>
                <w:szCs w:val="18"/>
                <w:lang w:bidi="ar"/>
              </w:rPr>
              <w:t>流量比</w:t>
            </w:r>
          </w:p>
        </w:tc>
        <w:tc>
          <w:tcPr>
            <w:tcW w:w="834" w:type="pct"/>
            <w:vAlign w:val="center"/>
          </w:tcPr>
          <w:p w14:paraId="3C9584B5">
            <w:pPr>
              <w:pStyle w:val="182"/>
            </w:pPr>
            <w:r>
              <w:rPr>
                <w:rFonts w:hAnsi="宋体" w:cs="Segoe UI"/>
                <w:color w:val="000000"/>
                <w:szCs w:val="18"/>
                <w:lang w:bidi="ar"/>
              </w:rPr>
              <w:t>≥80%</w:t>
            </w:r>
          </w:p>
        </w:tc>
        <w:tc>
          <w:tcPr>
            <w:tcW w:w="834" w:type="pct"/>
            <w:vAlign w:val="center"/>
          </w:tcPr>
          <w:p w14:paraId="4F10E6B3">
            <w:pPr>
              <w:pStyle w:val="182"/>
            </w:pPr>
            <w:r>
              <w:rPr>
                <w:rFonts w:hAnsi="宋体" w:cs="Segoe UI"/>
                <w:color w:val="000000"/>
                <w:szCs w:val="18"/>
                <w:lang w:bidi="ar"/>
              </w:rPr>
              <w:t>—</w:t>
            </w:r>
          </w:p>
        </w:tc>
      </w:tr>
      <w:tr w14:paraId="309DD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04A24348">
            <w:pPr>
              <w:pStyle w:val="182"/>
            </w:pPr>
            <w:r>
              <w:rPr>
                <w:rFonts w:hAnsi="宋体" w:cs="Segoe UI"/>
                <w:color w:val="000000"/>
                <w:szCs w:val="18"/>
                <w:lang w:bidi="ar"/>
              </w:rPr>
              <w:t>闪蒸罐蒸汽回收量</w:t>
            </w:r>
          </w:p>
        </w:tc>
        <w:tc>
          <w:tcPr>
            <w:tcW w:w="834" w:type="pct"/>
            <w:vAlign w:val="center"/>
          </w:tcPr>
          <w:p w14:paraId="5FFBCCEA">
            <w:pPr>
              <w:pStyle w:val="182"/>
            </w:pPr>
            <w:r>
              <w:rPr>
                <w:rFonts w:hAnsi="宋体" w:cs="Segoe UI"/>
                <w:color w:val="000000"/>
                <w:szCs w:val="18"/>
                <w:lang w:bidi="ar"/>
              </w:rPr>
              <w:t>kg/h</w:t>
            </w:r>
          </w:p>
        </w:tc>
        <w:tc>
          <w:tcPr>
            <w:tcW w:w="833" w:type="pct"/>
            <w:vAlign w:val="center"/>
          </w:tcPr>
          <w:p w14:paraId="59F109D8">
            <w:pPr>
              <w:pStyle w:val="182"/>
            </w:pPr>
          </w:p>
        </w:tc>
        <w:tc>
          <w:tcPr>
            <w:tcW w:w="833" w:type="pct"/>
            <w:vAlign w:val="center"/>
          </w:tcPr>
          <w:p w14:paraId="0F137F56">
            <w:pPr>
              <w:pStyle w:val="182"/>
            </w:pPr>
            <w:r>
              <w:rPr>
                <w:rFonts w:hAnsi="宋体" w:cs="Segoe UI"/>
                <w:color w:val="000000"/>
                <w:szCs w:val="18"/>
                <w:lang w:bidi="ar"/>
              </w:rPr>
              <w:t>质量流量计</w:t>
            </w:r>
          </w:p>
        </w:tc>
        <w:tc>
          <w:tcPr>
            <w:tcW w:w="834" w:type="pct"/>
            <w:vAlign w:val="center"/>
          </w:tcPr>
          <w:p w14:paraId="7A08ADE0">
            <w:pPr>
              <w:pStyle w:val="182"/>
            </w:pPr>
            <w:r>
              <w:rPr>
                <w:rFonts w:hAnsi="宋体" w:cs="Segoe UI"/>
                <w:color w:val="000000"/>
                <w:szCs w:val="18"/>
                <w:lang w:bidi="ar"/>
              </w:rPr>
              <w:t>—</w:t>
            </w:r>
          </w:p>
        </w:tc>
        <w:tc>
          <w:tcPr>
            <w:tcW w:w="834" w:type="pct"/>
            <w:vAlign w:val="center"/>
          </w:tcPr>
          <w:p w14:paraId="3A036DF3">
            <w:pPr>
              <w:pStyle w:val="182"/>
            </w:pPr>
            <w:r>
              <w:rPr>
                <w:rFonts w:hAnsi="宋体" w:cs="Segoe UI"/>
                <w:color w:val="000000"/>
                <w:szCs w:val="18"/>
                <w:lang w:bidi="ar"/>
              </w:rPr>
              <w:t>—</w:t>
            </w:r>
          </w:p>
        </w:tc>
      </w:tr>
      <w:tr w14:paraId="0DE61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2FF1C28">
            <w:pPr>
              <w:pStyle w:val="182"/>
            </w:pPr>
            <w:r>
              <w:rPr>
                <w:rFonts w:hAnsi="宋体" w:cs="Segoe UI"/>
                <w:color w:val="000000"/>
                <w:szCs w:val="18"/>
                <w:lang w:bidi="ar"/>
              </w:rPr>
              <w:t>天然气消耗量</w:t>
            </w:r>
          </w:p>
        </w:tc>
        <w:tc>
          <w:tcPr>
            <w:tcW w:w="834" w:type="pct"/>
            <w:vAlign w:val="center"/>
          </w:tcPr>
          <w:p w14:paraId="7FE8099D">
            <w:pPr>
              <w:pStyle w:val="182"/>
            </w:pPr>
            <w:r>
              <w:rPr>
                <w:rFonts w:hAnsi="宋体" w:cs="Segoe UI"/>
                <w:color w:val="000000"/>
                <w:szCs w:val="18"/>
                <w:lang w:bidi="ar"/>
              </w:rPr>
              <w:t>m³/h</w:t>
            </w:r>
          </w:p>
        </w:tc>
        <w:tc>
          <w:tcPr>
            <w:tcW w:w="833" w:type="pct"/>
            <w:vAlign w:val="center"/>
          </w:tcPr>
          <w:p w14:paraId="03C5B922">
            <w:pPr>
              <w:pStyle w:val="182"/>
            </w:pPr>
          </w:p>
        </w:tc>
        <w:tc>
          <w:tcPr>
            <w:tcW w:w="833" w:type="pct"/>
            <w:vAlign w:val="center"/>
          </w:tcPr>
          <w:p w14:paraId="535C12CF">
            <w:pPr>
              <w:pStyle w:val="182"/>
            </w:pPr>
            <w:r>
              <w:rPr>
                <w:rFonts w:hAnsi="宋体" w:cs="Segoe UI"/>
                <w:color w:val="000000"/>
                <w:szCs w:val="18"/>
                <w:lang w:bidi="ar"/>
              </w:rPr>
              <w:t>流量计</w:t>
            </w:r>
          </w:p>
        </w:tc>
        <w:tc>
          <w:tcPr>
            <w:tcW w:w="834" w:type="pct"/>
            <w:vAlign w:val="center"/>
          </w:tcPr>
          <w:p w14:paraId="0E4A77A7">
            <w:pPr>
              <w:pStyle w:val="182"/>
            </w:pPr>
            <w:r>
              <w:rPr>
                <w:rFonts w:hAnsi="宋体" w:cs="Segoe UI"/>
                <w:color w:val="000000"/>
                <w:szCs w:val="18"/>
                <w:lang w:bidi="ar"/>
              </w:rPr>
              <w:t>—</w:t>
            </w:r>
          </w:p>
        </w:tc>
        <w:tc>
          <w:tcPr>
            <w:tcW w:w="834" w:type="pct"/>
            <w:vAlign w:val="center"/>
          </w:tcPr>
          <w:p w14:paraId="59DCFD16">
            <w:pPr>
              <w:pStyle w:val="182"/>
            </w:pPr>
            <w:r>
              <w:rPr>
                <w:rFonts w:hAnsi="宋体" w:cs="Segoe UI"/>
                <w:color w:val="000000"/>
                <w:szCs w:val="18"/>
                <w:lang w:bidi="ar"/>
              </w:rPr>
              <w:t>—</w:t>
            </w:r>
          </w:p>
        </w:tc>
      </w:tr>
      <w:tr w14:paraId="2C2C4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4E103056">
            <w:pPr>
              <w:pStyle w:val="182"/>
            </w:pPr>
            <w:r>
              <w:rPr>
                <w:rFonts w:hAnsi="宋体" w:cs="Segoe UI"/>
                <w:color w:val="000000"/>
                <w:szCs w:val="18"/>
                <w:lang w:bidi="ar"/>
              </w:rPr>
              <w:t>灌装包装</w:t>
            </w:r>
          </w:p>
        </w:tc>
        <w:tc>
          <w:tcPr>
            <w:tcW w:w="834" w:type="pct"/>
            <w:vAlign w:val="center"/>
          </w:tcPr>
          <w:p w14:paraId="5E1B22D1">
            <w:pPr>
              <w:pStyle w:val="182"/>
            </w:pPr>
          </w:p>
        </w:tc>
        <w:tc>
          <w:tcPr>
            <w:tcW w:w="833" w:type="pct"/>
            <w:vAlign w:val="center"/>
          </w:tcPr>
          <w:p w14:paraId="52138205">
            <w:pPr>
              <w:pStyle w:val="182"/>
            </w:pPr>
          </w:p>
        </w:tc>
        <w:tc>
          <w:tcPr>
            <w:tcW w:w="833" w:type="pct"/>
            <w:vAlign w:val="center"/>
          </w:tcPr>
          <w:p w14:paraId="516FC857">
            <w:pPr>
              <w:pStyle w:val="182"/>
            </w:pPr>
          </w:p>
        </w:tc>
        <w:tc>
          <w:tcPr>
            <w:tcW w:w="834" w:type="pct"/>
            <w:vAlign w:val="center"/>
          </w:tcPr>
          <w:p w14:paraId="4865993B">
            <w:pPr>
              <w:pStyle w:val="182"/>
            </w:pPr>
          </w:p>
        </w:tc>
        <w:tc>
          <w:tcPr>
            <w:tcW w:w="834" w:type="pct"/>
            <w:vAlign w:val="center"/>
          </w:tcPr>
          <w:p w14:paraId="7CB44E49">
            <w:pPr>
              <w:pStyle w:val="182"/>
            </w:pPr>
          </w:p>
        </w:tc>
      </w:tr>
      <w:tr w14:paraId="08F4D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AE9AA36">
            <w:pPr>
              <w:pStyle w:val="182"/>
            </w:pPr>
            <w:r>
              <w:rPr>
                <w:rFonts w:hAnsi="宋体" w:cs="Segoe UI"/>
                <w:color w:val="000000"/>
                <w:szCs w:val="18"/>
                <w:lang w:bidi="ar"/>
              </w:rPr>
              <w:t>双氧水浓度</w:t>
            </w:r>
          </w:p>
        </w:tc>
        <w:tc>
          <w:tcPr>
            <w:tcW w:w="834" w:type="pct"/>
            <w:vAlign w:val="center"/>
          </w:tcPr>
          <w:p w14:paraId="3133B089">
            <w:pPr>
              <w:pStyle w:val="182"/>
            </w:pPr>
            <w:r>
              <w:rPr>
                <w:rFonts w:hAnsi="宋体" w:cs="Segoe UI"/>
                <w:color w:val="000000"/>
                <w:szCs w:val="18"/>
                <w:lang w:bidi="ar"/>
              </w:rPr>
              <w:t>%</w:t>
            </w:r>
          </w:p>
        </w:tc>
        <w:tc>
          <w:tcPr>
            <w:tcW w:w="833" w:type="pct"/>
            <w:vAlign w:val="center"/>
          </w:tcPr>
          <w:p w14:paraId="27084639">
            <w:pPr>
              <w:pStyle w:val="182"/>
            </w:pPr>
          </w:p>
        </w:tc>
        <w:tc>
          <w:tcPr>
            <w:tcW w:w="833" w:type="pct"/>
            <w:vAlign w:val="center"/>
          </w:tcPr>
          <w:p w14:paraId="037AB301">
            <w:pPr>
              <w:pStyle w:val="182"/>
            </w:pPr>
            <w:r>
              <w:rPr>
                <w:rFonts w:hAnsi="宋体" w:cs="Segoe UI"/>
                <w:color w:val="000000"/>
                <w:szCs w:val="18"/>
                <w:lang w:bidi="ar"/>
              </w:rPr>
              <w:t>滴定检测</w:t>
            </w:r>
          </w:p>
        </w:tc>
        <w:tc>
          <w:tcPr>
            <w:tcW w:w="834" w:type="pct"/>
            <w:vAlign w:val="center"/>
          </w:tcPr>
          <w:p w14:paraId="1531ECFB">
            <w:pPr>
              <w:pStyle w:val="182"/>
            </w:pPr>
            <w:r>
              <w:rPr>
                <w:rFonts w:hAnsi="宋体" w:cs="Segoe UI"/>
                <w:color w:val="000000"/>
                <w:szCs w:val="18"/>
                <w:lang w:bidi="ar"/>
              </w:rPr>
              <w:t>30~35%</w:t>
            </w:r>
          </w:p>
        </w:tc>
        <w:tc>
          <w:tcPr>
            <w:tcW w:w="834" w:type="pct"/>
            <w:vAlign w:val="center"/>
          </w:tcPr>
          <w:p w14:paraId="375D14D4">
            <w:pPr>
              <w:pStyle w:val="182"/>
            </w:pPr>
            <w:r>
              <w:rPr>
                <w:rFonts w:hAnsi="宋体" w:cs="Segoe UI"/>
                <w:color w:val="000000"/>
                <w:szCs w:val="18"/>
                <w:lang w:bidi="ar"/>
              </w:rPr>
              <w:t>—</w:t>
            </w:r>
          </w:p>
        </w:tc>
      </w:tr>
      <w:tr w14:paraId="7F8D2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34E58A6">
            <w:pPr>
              <w:pStyle w:val="182"/>
            </w:pPr>
            <w:r>
              <w:rPr>
                <w:rFonts w:hAnsi="宋体" w:cs="Segoe UI"/>
                <w:color w:val="000000"/>
                <w:szCs w:val="18"/>
                <w:lang w:bidi="ar"/>
              </w:rPr>
              <w:t>双氧水残留量</w:t>
            </w:r>
          </w:p>
        </w:tc>
        <w:tc>
          <w:tcPr>
            <w:tcW w:w="834" w:type="pct"/>
            <w:vAlign w:val="center"/>
          </w:tcPr>
          <w:p w14:paraId="5FABA900">
            <w:pPr>
              <w:pStyle w:val="182"/>
            </w:pPr>
            <w:r>
              <w:rPr>
                <w:rFonts w:hAnsi="宋体" w:cs="Segoe UI"/>
                <w:color w:val="000000"/>
                <w:szCs w:val="18"/>
                <w:lang w:bidi="ar"/>
              </w:rPr>
              <w:t>ppm</w:t>
            </w:r>
          </w:p>
        </w:tc>
        <w:tc>
          <w:tcPr>
            <w:tcW w:w="833" w:type="pct"/>
            <w:vAlign w:val="center"/>
          </w:tcPr>
          <w:p w14:paraId="577F56E4">
            <w:pPr>
              <w:pStyle w:val="182"/>
            </w:pPr>
          </w:p>
        </w:tc>
        <w:tc>
          <w:tcPr>
            <w:tcW w:w="833" w:type="pct"/>
            <w:vAlign w:val="center"/>
          </w:tcPr>
          <w:p w14:paraId="4B354643">
            <w:pPr>
              <w:pStyle w:val="182"/>
            </w:pPr>
            <w:r>
              <w:rPr>
                <w:rFonts w:hAnsi="宋体" w:cs="Segoe UI"/>
                <w:color w:val="000000"/>
                <w:szCs w:val="18"/>
                <w:lang w:bidi="ar"/>
              </w:rPr>
              <w:t>HPLC检测</w:t>
            </w:r>
          </w:p>
        </w:tc>
        <w:tc>
          <w:tcPr>
            <w:tcW w:w="834" w:type="pct"/>
            <w:vAlign w:val="center"/>
          </w:tcPr>
          <w:p w14:paraId="55D56596">
            <w:pPr>
              <w:pStyle w:val="182"/>
            </w:pPr>
            <w:r>
              <w:rPr>
                <w:rFonts w:hAnsi="宋体" w:cs="Segoe UI"/>
                <w:color w:val="000000"/>
                <w:szCs w:val="18"/>
                <w:lang w:bidi="ar"/>
              </w:rPr>
              <w:t>≤0.5ppm</w:t>
            </w:r>
          </w:p>
        </w:tc>
        <w:tc>
          <w:tcPr>
            <w:tcW w:w="834" w:type="pct"/>
            <w:vAlign w:val="center"/>
          </w:tcPr>
          <w:p w14:paraId="76A6FEE2">
            <w:pPr>
              <w:pStyle w:val="182"/>
            </w:pPr>
            <w:r>
              <w:rPr>
                <w:rFonts w:hAnsi="宋体" w:cs="Segoe UI"/>
                <w:color w:val="000000"/>
                <w:szCs w:val="18"/>
                <w:lang w:bidi="ar"/>
              </w:rPr>
              <w:t>—</w:t>
            </w:r>
          </w:p>
        </w:tc>
      </w:tr>
      <w:tr w14:paraId="3852E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65AAEB03">
            <w:pPr>
              <w:pStyle w:val="182"/>
            </w:pPr>
            <w:r>
              <w:rPr>
                <w:rFonts w:hAnsi="宋体" w:cs="Segoe UI"/>
                <w:color w:val="000000"/>
                <w:szCs w:val="18"/>
                <w:lang w:bidi="ar"/>
              </w:rPr>
              <w:t>充氮氧含量</w:t>
            </w:r>
          </w:p>
        </w:tc>
        <w:tc>
          <w:tcPr>
            <w:tcW w:w="834" w:type="pct"/>
            <w:vAlign w:val="center"/>
          </w:tcPr>
          <w:p w14:paraId="6906CCE5">
            <w:pPr>
              <w:pStyle w:val="182"/>
            </w:pPr>
            <w:r>
              <w:rPr>
                <w:rFonts w:hAnsi="宋体" w:cs="Segoe UI"/>
                <w:color w:val="000000"/>
                <w:szCs w:val="18"/>
                <w:lang w:bidi="ar"/>
              </w:rPr>
              <w:t>%</w:t>
            </w:r>
          </w:p>
        </w:tc>
        <w:tc>
          <w:tcPr>
            <w:tcW w:w="833" w:type="pct"/>
            <w:vAlign w:val="center"/>
          </w:tcPr>
          <w:p w14:paraId="44EF623B">
            <w:pPr>
              <w:pStyle w:val="182"/>
            </w:pPr>
          </w:p>
        </w:tc>
        <w:tc>
          <w:tcPr>
            <w:tcW w:w="833" w:type="pct"/>
            <w:vAlign w:val="center"/>
          </w:tcPr>
          <w:p w14:paraId="2E9840A2">
            <w:pPr>
              <w:pStyle w:val="182"/>
            </w:pPr>
            <w:r>
              <w:rPr>
                <w:rFonts w:hAnsi="宋体" w:cs="Segoe UI"/>
                <w:color w:val="000000"/>
                <w:szCs w:val="18"/>
                <w:lang w:bidi="ar"/>
              </w:rPr>
              <w:t>氧分析仪</w:t>
            </w:r>
          </w:p>
        </w:tc>
        <w:tc>
          <w:tcPr>
            <w:tcW w:w="834" w:type="pct"/>
            <w:vAlign w:val="center"/>
          </w:tcPr>
          <w:p w14:paraId="21F46078">
            <w:pPr>
              <w:pStyle w:val="182"/>
            </w:pPr>
            <w:r>
              <w:rPr>
                <w:rFonts w:hAnsi="宋体" w:cs="Segoe UI"/>
                <w:color w:val="000000"/>
                <w:szCs w:val="18"/>
                <w:lang w:bidi="ar"/>
              </w:rPr>
              <w:t>≤0.5%</w:t>
            </w:r>
          </w:p>
        </w:tc>
        <w:tc>
          <w:tcPr>
            <w:tcW w:w="834" w:type="pct"/>
            <w:vAlign w:val="center"/>
          </w:tcPr>
          <w:p w14:paraId="3725985D">
            <w:pPr>
              <w:pStyle w:val="182"/>
            </w:pPr>
            <w:r>
              <w:rPr>
                <w:rFonts w:hAnsi="宋体" w:cs="Segoe UI"/>
                <w:color w:val="000000"/>
                <w:szCs w:val="18"/>
                <w:lang w:bidi="ar"/>
              </w:rPr>
              <w:t>—</w:t>
            </w:r>
          </w:p>
        </w:tc>
      </w:tr>
      <w:tr w14:paraId="05A23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5F7B7673">
            <w:pPr>
              <w:pStyle w:val="182"/>
            </w:pPr>
            <w:r>
              <w:rPr>
                <w:rFonts w:hAnsi="宋体" w:cs="Segoe UI"/>
                <w:color w:val="000000"/>
                <w:szCs w:val="18"/>
                <w:lang w:bidi="ar"/>
              </w:rPr>
              <w:t>纸箱边压强度</w:t>
            </w:r>
          </w:p>
        </w:tc>
        <w:tc>
          <w:tcPr>
            <w:tcW w:w="834" w:type="pct"/>
            <w:vAlign w:val="center"/>
          </w:tcPr>
          <w:p w14:paraId="1E7BF019">
            <w:pPr>
              <w:pStyle w:val="182"/>
            </w:pPr>
            <w:r>
              <w:rPr>
                <w:rFonts w:hAnsi="宋体" w:cs="Segoe UI"/>
                <w:color w:val="000000"/>
                <w:szCs w:val="18"/>
                <w:lang w:bidi="ar"/>
              </w:rPr>
              <w:t>kN/m</w:t>
            </w:r>
          </w:p>
        </w:tc>
        <w:tc>
          <w:tcPr>
            <w:tcW w:w="833" w:type="pct"/>
            <w:vAlign w:val="center"/>
          </w:tcPr>
          <w:p w14:paraId="13B6AC27">
            <w:pPr>
              <w:pStyle w:val="182"/>
            </w:pPr>
          </w:p>
        </w:tc>
        <w:tc>
          <w:tcPr>
            <w:tcW w:w="833" w:type="pct"/>
            <w:vAlign w:val="center"/>
          </w:tcPr>
          <w:p w14:paraId="61F70911">
            <w:pPr>
              <w:pStyle w:val="182"/>
            </w:pPr>
            <w:r>
              <w:rPr>
                <w:rFonts w:hAnsi="宋体" w:cs="Segoe UI"/>
                <w:color w:val="000000"/>
                <w:szCs w:val="18"/>
                <w:lang w:bidi="ar"/>
              </w:rPr>
              <w:t>压力试验机</w:t>
            </w:r>
          </w:p>
        </w:tc>
        <w:tc>
          <w:tcPr>
            <w:tcW w:w="834" w:type="pct"/>
            <w:vAlign w:val="center"/>
          </w:tcPr>
          <w:p w14:paraId="5D23B428">
            <w:pPr>
              <w:pStyle w:val="182"/>
            </w:pPr>
            <w:r>
              <w:rPr>
                <w:rFonts w:hAnsi="宋体" w:cs="Segoe UI"/>
                <w:color w:val="000000"/>
                <w:szCs w:val="18"/>
                <w:lang w:bidi="ar"/>
              </w:rPr>
              <w:t>≥7kN/m</w:t>
            </w:r>
          </w:p>
        </w:tc>
        <w:tc>
          <w:tcPr>
            <w:tcW w:w="834" w:type="pct"/>
            <w:vAlign w:val="center"/>
          </w:tcPr>
          <w:p w14:paraId="3DC33A59">
            <w:pPr>
              <w:pStyle w:val="182"/>
            </w:pPr>
            <w:r>
              <w:rPr>
                <w:rFonts w:hAnsi="宋体" w:cs="Segoe UI"/>
                <w:color w:val="000000"/>
                <w:szCs w:val="18"/>
                <w:lang w:bidi="ar"/>
              </w:rPr>
              <w:t>—</w:t>
            </w:r>
          </w:p>
        </w:tc>
      </w:tr>
      <w:tr w14:paraId="6D046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C24EB6B">
            <w:pPr>
              <w:pStyle w:val="182"/>
            </w:pPr>
            <w:r>
              <w:rPr>
                <w:rFonts w:hAnsi="宋体" w:cs="Segoe UI"/>
                <w:color w:val="000000"/>
                <w:szCs w:val="18"/>
                <w:lang w:bidi="ar"/>
              </w:rPr>
              <w:t>折箱机故障率</w:t>
            </w:r>
          </w:p>
        </w:tc>
        <w:tc>
          <w:tcPr>
            <w:tcW w:w="834" w:type="pct"/>
            <w:vAlign w:val="center"/>
          </w:tcPr>
          <w:p w14:paraId="6F682BFA">
            <w:pPr>
              <w:pStyle w:val="182"/>
            </w:pPr>
            <w:r>
              <w:rPr>
                <w:rFonts w:hAnsi="宋体" w:cs="Segoe UI"/>
                <w:color w:val="000000"/>
                <w:szCs w:val="18"/>
                <w:lang w:bidi="ar"/>
              </w:rPr>
              <w:t>%</w:t>
            </w:r>
          </w:p>
        </w:tc>
        <w:tc>
          <w:tcPr>
            <w:tcW w:w="833" w:type="pct"/>
            <w:vAlign w:val="center"/>
          </w:tcPr>
          <w:p w14:paraId="0A6C1A4C">
            <w:pPr>
              <w:pStyle w:val="182"/>
            </w:pPr>
          </w:p>
        </w:tc>
        <w:tc>
          <w:tcPr>
            <w:tcW w:w="833" w:type="pct"/>
            <w:vAlign w:val="center"/>
          </w:tcPr>
          <w:p w14:paraId="70398E7A">
            <w:pPr>
              <w:pStyle w:val="182"/>
            </w:pPr>
            <w:r>
              <w:rPr>
                <w:rFonts w:hAnsi="宋体" w:cs="Segoe UI"/>
                <w:color w:val="000000"/>
                <w:szCs w:val="18"/>
                <w:lang w:bidi="ar"/>
              </w:rPr>
              <w:t>维修记录</w:t>
            </w:r>
          </w:p>
        </w:tc>
        <w:tc>
          <w:tcPr>
            <w:tcW w:w="834" w:type="pct"/>
            <w:vAlign w:val="center"/>
          </w:tcPr>
          <w:p w14:paraId="6B1BD95A">
            <w:pPr>
              <w:pStyle w:val="182"/>
            </w:pPr>
            <w:r>
              <w:rPr>
                <w:rFonts w:hAnsi="宋体" w:cs="Segoe UI"/>
                <w:color w:val="000000"/>
                <w:szCs w:val="18"/>
                <w:lang w:bidi="ar"/>
              </w:rPr>
              <w:t>(故障时长/运行时长)×100%</w:t>
            </w:r>
          </w:p>
        </w:tc>
        <w:tc>
          <w:tcPr>
            <w:tcW w:w="834" w:type="pct"/>
            <w:vAlign w:val="center"/>
          </w:tcPr>
          <w:p w14:paraId="266E356D">
            <w:pPr>
              <w:pStyle w:val="182"/>
            </w:pPr>
            <w:r>
              <w:rPr>
                <w:rFonts w:hAnsi="宋体" w:cs="Segoe UI"/>
                <w:color w:val="000000"/>
                <w:szCs w:val="18"/>
                <w:lang w:bidi="ar"/>
              </w:rPr>
              <w:t>—</w:t>
            </w:r>
          </w:p>
        </w:tc>
      </w:tr>
      <w:tr w14:paraId="33736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5D0159E1">
            <w:pPr>
              <w:pStyle w:val="182"/>
            </w:pPr>
            <w:r>
              <w:rPr>
                <w:rFonts w:hAnsi="宋体" w:cs="Segoe UI"/>
                <w:color w:val="000000"/>
                <w:szCs w:val="18"/>
                <w:lang w:bidi="ar"/>
              </w:rPr>
              <w:t>辅助系统</w:t>
            </w:r>
          </w:p>
        </w:tc>
        <w:tc>
          <w:tcPr>
            <w:tcW w:w="834" w:type="pct"/>
            <w:vAlign w:val="center"/>
          </w:tcPr>
          <w:p w14:paraId="17E1E216">
            <w:pPr>
              <w:pStyle w:val="182"/>
            </w:pPr>
          </w:p>
        </w:tc>
        <w:tc>
          <w:tcPr>
            <w:tcW w:w="833" w:type="pct"/>
            <w:vAlign w:val="center"/>
          </w:tcPr>
          <w:p w14:paraId="4FAB1532">
            <w:pPr>
              <w:pStyle w:val="182"/>
            </w:pPr>
          </w:p>
        </w:tc>
        <w:tc>
          <w:tcPr>
            <w:tcW w:w="833" w:type="pct"/>
            <w:vAlign w:val="center"/>
          </w:tcPr>
          <w:p w14:paraId="715909A2">
            <w:pPr>
              <w:pStyle w:val="182"/>
            </w:pPr>
          </w:p>
        </w:tc>
        <w:tc>
          <w:tcPr>
            <w:tcW w:w="834" w:type="pct"/>
            <w:vAlign w:val="center"/>
          </w:tcPr>
          <w:p w14:paraId="7FD39052">
            <w:pPr>
              <w:pStyle w:val="182"/>
            </w:pPr>
          </w:p>
        </w:tc>
        <w:tc>
          <w:tcPr>
            <w:tcW w:w="834" w:type="pct"/>
            <w:vAlign w:val="center"/>
          </w:tcPr>
          <w:p w14:paraId="72549F62">
            <w:pPr>
              <w:pStyle w:val="182"/>
            </w:pPr>
          </w:p>
        </w:tc>
      </w:tr>
      <w:tr w14:paraId="3002A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6E44A360">
            <w:pPr>
              <w:pStyle w:val="182"/>
            </w:pPr>
            <w:r>
              <w:rPr>
                <w:rFonts w:hAnsi="宋体" w:cs="Segoe UI"/>
                <w:color w:val="000000"/>
                <w:szCs w:val="18"/>
                <w:lang w:bidi="ar"/>
              </w:rPr>
              <w:t>CIP碱洗温度</w:t>
            </w:r>
          </w:p>
        </w:tc>
        <w:tc>
          <w:tcPr>
            <w:tcW w:w="834" w:type="pct"/>
            <w:vAlign w:val="center"/>
          </w:tcPr>
          <w:p w14:paraId="5A3C85EC">
            <w:pPr>
              <w:pStyle w:val="182"/>
            </w:pPr>
            <w:r>
              <w:rPr>
                <w:rFonts w:hAnsi="宋体" w:cs="Segoe UI"/>
                <w:color w:val="000000"/>
                <w:szCs w:val="18"/>
                <w:lang w:bidi="ar"/>
              </w:rPr>
              <w:t>℃</w:t>
            </w:r>
          </w:p>
        </w:tc>
        <w:tc>
          <w:tcPr>
            <w:tcW w:w="833" w:type="pct"/>
            <w:vAlign w:val="center"/>
          </w:tcPr>
          <w:p w14:paraId="5EEA85E0">
            <w:pPr>
              <w:pStyle w:val="182"/>
            </w:pPr>
          </w:p>
        </w:tc>
        <w:tc>
          <w:tcPr>
            <w:tcW w:w="833" w:type="pct"/>
            <w:vAlign w:val="center"/>
          </w:tcPr>
          <w:p w14:paraId="661EC5BA">
            <w:pPr>
              <w:pStyle w:val="182"/>
            </w:pPr>
            <w:r>
              <w:rPr>
                <w:rFonts w:hAnsi="宋体" w:cs="Segoe UI"/>
                <w:color w:val="000000"/>
                <w:szCs w:val="18"/>
                <w:lang w:bidi="ar"/>
              </w:rPr>
              <w:t>温度传感器</w:t>
            </w:r>
          </w:p>
        </w:tc>
        <w:tc>
          <w:tcPr>
            <w:tcW w:w="834" w:type="pct"/>
            <w:vAlign w:val="center"/>
          </w:tcPr>
          <w:p w14:paraId="45946B3A">
            <w:pPr>
              <w:pStyle w:val="182"/>
            </w:pPr>
            <w:r>
              <w:rPr>
                <w:rFonts w:hAnsi="宋体" w:cs="Segoe UI"/>
                <w:color w:val="000000"/>
                <w:szCs w:val="18"/>
                <w:lang w:bidi="ar"/>
              </w:rPr>
              <w:t>75℃±5℃</w:t>
            </w:r>
          </w:p>
        </w:tc>
        <w:tc>
          <w:tcPr>
            <w:tcW w:w="834" w:type="pct"/>
            <w:vAlign w:val="center"/>
          </w:tcPr>
          <w:p w14:paraId="69E2772B">
            <w:pPr>
              <w:pStyle w:val="182"/>
            </w:pPr>
            <w:r>
              <w:rPr>
                <w:rFonts w:hAnsi="宋体" w:cs="Segoe UI"/>
                <w:color w:val="000000"/>
                <w:szCs w:val="18"/>
                <w:lang w:bidi="ar"/>
              </w:rPr>
              <w:t>—</w:t>
            </w:r>
          </w:p>
        </w:tc>
      </w:tr>
      <w:tr w14:paraId="76A8B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7150F076">
            <w:pPr>
              <w:pStyle w:val="182"/>
            </w:pPr>
            <w:r>
              <w:rPr>
                <w:rFonts w:hAnsi="宋体" w:cs="Segoe UI"/>
                <w:color w:val="000000"/>
                <w:szCs w:val="18"/>
                <w:lang w:bidi="ar"/>
              </w:rPr>
              <w:t>CIP酸洗浓度</w:t>
            </w:r>
          </w:p>
        </w:tc>
        <w:tc>
          <w:tcPr>
            <w:tcW w:w="834" w:type="pct"/>
            <w:vAlign w:val="center"/>
          </w:tcPr>
          <w:p w14:paraId="4925C90A">
            <w:pPr>
              <w:pStyle w:val="182"/>
            </w:pPr>
            <w:r>
              <w:rPr>
                <w:rFonts w:hAnsi="宋体" w:cs="Segoe UI"/>
                <w:color w:val="000000"/>
                <w:szCs w:val="18"/>
                <w:lang w:bidi="ar"/>
              </w:rPr>
              <w:t>%</w:t>
            </w:r>
          </w:p>
        </w:tc>
        <w:tc>
          <w:tcPr>
            <w:tcW w:w="833" w:type="pct"/>
            <w:vAlign w:val="center"/>
          </w:tcPr>
          <w:p w14:paraId="499E6D4F">
            <w:pPr>
              <w:pStyle w:val="182"/>
            </w:pPr>
          </w:p>
        </w:tc>
        <w:tc>
          <w:tcPr>
            <w:tcW w:w="833" w:type="pct"/>
            <w:vAlign w:val="center"/>
          </w:tcPr>
          <w:p w14:paraId="5DD44005">
            <w:pPr>
              <w:pStyle w:val="182"/>
            </w:pPr>
            <w:r>
              <w:rPr>
                <w:rFonts w:hAnsi="宋体" w:cs="Segoe UI"/>
                <w:color w:val="000000"/>
                <w:szCs w:val="18"/>
                <w:lang w:bidi="ar"/>
              </w:rPr>
              <w:t>滴定检测</w:t>
            </w:r>
          </w:p>
        </w:tc>
        <w:tc>
          <w:tcPr>
            <w:tcW w:w="834" w:type="pct"/>
            <w:vAlign w:val="center"/>
          </w:tcPr>
          <w:p w14:paraId="32A8F53B">
            <w:pPr>
              <w:pStyle w:val="182"/>
            </w:pPr>
            <w:r>
              <w:rPr>
                <w:rFonts w:hAnsi="宋体" w:cs="Segoe UI"/>
                <w:color w:val="000000"/>
                <w:szCs w:val="18"/>
                <w:lang w:bidi="ar"/>
              </w:rPr>
              <w:t>0.8~1.2%</w:t>
            </w:r>
          </w:p>
        </w:tc>
        <w:tc>
          <w:tcPr>
            <w:tcW w:w="834" w:type="pct"/>
            <w:vAlign w:val="center"/>
          </w:tcPr>
          <w:p w14:paraId="16D4A41D">
            <w:pPr>
              <w:pStyle w:val="182"/>
            </w:pPr>
            <w:r>
              <w:rPr>
                <w:rFonts w:hAnsi="宋体" w:cs="Segoe UI"/>
                <w:color w:val="000000"/>
                <w:szCs w:val="18"/>
                <w:lang w:bidi="ar"/>
              </w:rPr>
              <w:t>—</w:t>
            </w:r>
          </w:p>
        </w:tc>
      </w:tr>
      <w:tr w14:paraId="2640B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40B00680">
            <w:pPr>
              <w:pStyle w:val="182"/>
            </w:pPr>
            <w:r>
              <w:rPr>
                <w:rFonts w:hAnsi="宋体" w:cs="Segoe UI"/>
                <w:color w:val="000000"/>
                <w:szCs w:val="18"/>
                <w:lang w:bidi="ar"/>
              </w:rPr>
              <w:t>终淋水电导率</w:t>
            </w:r>
          </w:p>
        </w:tc>
        <w:tc>
          <w:tcPr>
            <w:tcW w:w="834" w:type="pct"/>
            <w:vAlign w:val="center"/>
          </w:tcPr>
          <w:p w14:paraId="3BF630A5">
            <w:pPr>
              <w:pStyle w:val="182"/>
            </w:pPr>
            <w:r>
              <w:rPr>
                <w:rFonts w:hAnsi="宋体" w:cs="Segoe UI"/>
                <w:color w:val="000000"/>
                <w:szCs w:val="18"/>
                <w:lang w:bidi="ar"/>
              </w:rPr>
              <w:t>μS/cm</w:t>
            </w:r>
          </w:p>
        </w:tc>
        <w:tc>
          <w:tcPr>
            <w:tcW w:w="833" w:type="pct"/>
            <w:vAlign w:val="center"/>
          </w:tcPr>
          <w:p w14:paraId="6EB5031B">
            <w:pPr>
              <w:pStyle w:val="182"/>
            </w:pPr>
          </w:p>
        </w:tc>
        <w:tc>
          <w:tcPr>
            <w:tcW w:w="833" w:type="pct"/>
            <w:vAlign w:val="center"/>
          </w:tcPr>
          <w:p w14:paraId="3145027E">
            <w:pPr>
              <w:pStyle w:val="182"/>
            </w:pPr>
            <w:r>
              <w:rPr>
                <w:rFonts w:hAnsi="宋体" w:cs="Segoe UI"/>
                <w:color w:val="000000"/>
                <w:szCs w:val="18"/>
                <w:lang w:bidi="ar"/>
              </w:rPr>
              <w:t>在线监测</w:t>
            </w:r>
          </w:p>
        </w:tc>
        <w:tc>
          <w:tcPr>
            <w:tcW w:w="834" w:type="pct"/>
            <w:vAlign w:val="center"/>
          </w:tcPr>
          <w:p w14:paraId="3F7D73F7">
            <w:pPr>
              <w:pStyle w:val="182"/>
            </w:pPr>
            <w:r>
              <w:rPr>
                <w:rFonts w:hAnsi="宋体" w:cs="Segoe UI"/>
                <w:color w:val="000000"/>
                <w:szCs w:val="18"/>
                <w:lang w:bidi="ar"/>
              </w:rPr>
              <w:t>≤50μS/cm</w:t>
            </w:r>
          </w:p>
        </w:tc>
        <w:tc>
          <w:tcPr>
            <w:tcW w:w="834" w:type="pct"/>
            <w:vAlign w:val="center"/>
          </w:tcPr>
          <w:p w14:paraId="4AD69C8D">
            <w:pPr>
              <w:pStyle w:val="182"/>
            </w:pPr>
            <w:r>
              <w:rPr>
                <w:rFonts w:hAnsi="宋体" w:cs="Segoe UI"/>
                <w:color w:val="000000"/>
                <w:szCs w:val="18"/>
                <w:lang w:bidi="ar"/>
              </w:rPr>
              <w:t>—</w:t>
            </w:r>
          </w:p>
        </w:tc>
      </w:tr>
      <w:tr w14:paraId="4FD72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1B5B4B35">
            <w:pPr>
              <w:pStyle w:val="182"/>
            </w:pPr>
            <w:r>
              <w:rPr>
                <w:rFonts w:hAnsi="宋体" w:cs="Segoe UI"/>
                <w:color w:val="000000"/>
                <w:szCs w:val="18"/>
                <w:lang w:bidi="ar"/>
              </w:rPr>
              <w:t>碱酸洗回用比例</w:t>
            </w:r>
          </w:p>
        </w:tc>
        <w:tc>
          <w:tcPr>
            <w:tcW w:w="834" w:type="pct"/>
            <w:vAlign w:val="center"/>
          </w:tcPr>
          <w:p w14:paraId="1860FCC2">
            <w:pPr>
              <w:pStyle w:val="182"/>
            </w:pPr>
            <w:r>
              <w:rPr>
                <w:rFonts w:hAnsi="宋体" w:cs="Segoe UI"/>
                <w:color w:val="000000"/>
                <w:szCs w:val="18"/>
                <w:lang w:bidi="ar"/>
              </w:rPr>
              <w:t>%</w:t>
            </w:r>
          </w:p>
        </w:tc>
        <w:tc>
          <w:tcPr>
            <w:tcW w:w="833" w:type="pct"/>
            <w:vAlign w:val="center"/>
          </w:tcPr>
          <w:p w14:paraId="5BCD6369">
            <w:pPr>
              <w:pStyle w:val="182"/>
            </w:pPr>
          </w:p>
        </w:tc>
        <w:tc>
          <w:tcPr>
            <w:tcW w:w="833" w:type="pct"/>
            <w:vAlign w:val="center"/>
          </w:tcPr>
          <w:p w14:paraId="716B912D">
            <w:pPr>
              <w:pStyle w:val="182"/>
            </w:pPr>
            <w:r>
              <w:rPr>
                <w:rFonts w:hAnsi="宋体" w:cs="Segoe UI"/>
                <w:color w:val="000000"/>
                <w:szCs w:val="18"/>
                <w:lang w:bidi="ar"/>
              </w:rPr>
              <w:t>水表分级计量</w:t>
            </w:r>
          </w:p>
        </w:tc>
        <w:tc>
          <w:tcPr>
            <w:tcW w:w="834" w:type="pct"/>
            <w:vAlign w:val="center"/>
          </w:tcPr>
          <w:p w14:paraId="46AD69FA">
            <w:pPr>
              <w:pStyle w:val="182"/>
            </w:pPr>
            <w:r>
              <w:rPr>
                <w:rFonts w:hAnsi="宋体" w:cs="Segoe UI"/>
                <w:color w:val="000000"/>
                <w:szCs w:val="18"/>
                <w:lang w:bidi="ar"/>
              </w:rPr>
              <w:t>≥70%</w:t>
            </w:r>
          </w:p>
        </w:tc>
        <w:tc>
          <w:tcPr>
            <w:tcW w:w="834" w:type="pct"/>
            <w:vAlign w:val="center"/>
          </w:tcPr>
          <w:p w14:paraId="05C774C4">
            <w:pPr>
              <w:pStyle w:val="182"/>
            </w:pPr>
            <w:r>
              <w:rPr>
                <w:rFonts w:hAnsi="宋体" w:cs="Segoe UI"/>
                <w:color w:val="000000"/>
                <w:szCs w:val="18"/>
                <w:lang w:bidi="ar"/>
              </w:rPr>
              <w:t>—</w:t>
            </w:r>
          </w:p>
        </w:tc>
      </w:tr>
      <w:tr w14:paraId="16289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0C17BCE1">
            <w:pPr>
              <w:pStyle w:val="182"/>
            </w:pPr>
            <w:r>
              <w:rPr>
                <w:rFonts w:hAnsi="宋体" w:cs="Segoe UI"/>
                <w:color w:val="000000"/>
                <w:szCs w:val="18"/>
                <w:lang w:bidi="ar"/>
              </w:rPr>
              <w:t>污泥MLSS浓度</w:t>
            </w:r>
          </w:p>
        </w:tc>
        <w:tc>
          <w:tcPr>
            <w:tcW w:w="834" w:type="pct"/>
            <w:vAlign w:val="center"/>
          </w:tcPr>
          <w:p w14:paraId="05B5CD79">
            <w:pPr>
              <w:pStyle w:val="182"/>
            </w:pPr>
            <w:r>
              <w:rPr>
                <w:rFonts w:hAnsi="宋体" w:cs="Segoe UI"/>
                <w:color w:val="000000"/>
                <w:szCs w:val="18"/>
                <w:lang w:bidi="ar"/>
              </w:rPr>
              <w:t>mg/L</w:t>
            </w:r>
          </w:p>
        </w:tc>
        <w:tc>
          <w:tcPr>
            <w:tcW w:w="833" w:type="pct"/>
            <w:vAlign w:val="center"/>
          </w:tcPr>
          <w:p w14:paraId="2A98443F">
            <w:pPr>
              <w:pStyle w:val="182"/>
            </w:pPr>
          </w:p>
        </w:tc>
        <w:tc>
          <w:tcPr>
            <w:tcW w:w="833" w:type="pct"/>
            <w:vAlign w:val="center"/>
          </w:tcPr>
          <w:p w14:paraId="2E7EDB96">
            <w:pPr>
              <w:pStyle w:val="182"/>
            </w:pPr>
            <w:r>
              <w:rPr>
                <w:rFonts w:hAnsi="宋体" w:cs="Segoe UI"/>
                <w:color w:val="000000"/>
                <w:szCs w:val="18"/>
                <w:lang w:bidi="ar"/>
              </w:rPr>
              <w:t>实验室检测</w:t>
            </w:r>
          </w:p>
        </w:tc>
        <w:tc>
          <w:tcPr>
            <w:tcW w:w="834" w:type="pct"/>
            <w:vAlign w:val="center"/>
          </w:tcPr>
          <w:p w14:paraId="53BAD3E5">
            <w:pPr>
              <w:pStyle w:val="182"/>
            </w:pPr>
            <w:r>
              <w:rPr>
                <w:rFonts w:hAnsi="宋体" w:cs="Segoe UI"/>
                <w:color w:val="000000"/>
                <w:szCs w:val="18"/>
                <w:lang w:bidi="ar"/>
              </w:rPr>
              <w:t>3000~5000mg/L</w:t>
            </w:r>
          </w:p>
        </w:tc>
        <w:tc>
          <w:tcPr>
            <w:tcW w:w="834" w:type="pct"/>
            <w:vAlign w:val="center"/>
          </w:tcPr>
          <w:p w14:paraId="415FE031">
            <w:pPr>
              <w:pStyle w:val="182"/>
            </w:pPr>
            <w:r>
              <w:rPr>
                <w:rFonts w:hAnsi="宋体" w:cs="Segoe UI"/>
                <w:color w:val="000000"/>
                <w:szCs w:val="18"/>
                <w:lang w:bidi="ar"/>
              </w:rPr>
              <w:t>—</w:t>
            </w:r>
          </w:p>
        </w:tc>
      </w:tr>
      <w:tr w14:paraId="4C2B8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2E148A7E">
            <w:pPr>
              <w:pStyle w:val="182"/>
            </w:pPr>
            <w:r>
              <w:rPr>
                <w:rFonts w:hAnsi="宋体" w:cs="Segoe UI"/>
                <w:color w:val="000000"/>
                <w:szCs w:val="18"/>
                <w:lang w:bidi="ar"/>
              </w:rPr>
              <w:t>沼气H</w:t>
            </w:r>
            <w:r>
              <w:rPr>
                <w:rFonts w:ascii="Cambria Math" w:hAnsi="Cambria Math" w:cs="Cambria Math"/>
                <w:color w:val="000000"/>
                <w:szCs w:val="18"/>
                <w:lang w:bidi="ar"/>
              </w:rPr>
              <w:t>₂</w:t>
            </w:r>
            <w:r>
              <w:rPr>
                <w:rFonts w:hAnsi="宋体" w:cs="Segoe UI"/>
                <w:color w:val="000000"/>
                <w:szCs w:val="18"/>
                <w:lang w:bidi="ar"/>
              </w:rPr>
              <w:t>S含量</w:t>
            </w:r>
          </w:p>
        </w:tc>
        <w:tc>
          <w:tcPr>
            <w:tcW w:w="834" w:type="pct"/>
            <w:vAlign w:val="center"/>
          </w:tcPr>
          <w:p w14:paraId="6511CC14">
            <w:pPr>
              <w:pStyle w:val="182"/>
            </w:pPr>
            <w:r>
              <w:rPr>
                <w:rFonts w:hAnsi="宋体" w:cs="Segoe UI"/>
                <w:color w:val="000000"/>
                <w:szCs w:val="18"/>
                <w:lang w:bidi="ar"/>
              </w:rPr>
              <w:t>mg/m³</w:t>
            </w:r>
          </w:p>
        </w:tc>
        <w:tc>
          <w:tcPr>
            <w:tcW w:w="833" w:type="pct"/>
            <w:vAlign w:val="center"/>
          </w:tcPr>
          <w:p w14:paraId="76CEFFF7">
            <w:pPr>
              <w:pStyle w:val="182"/>
            </w:pPr>
          </w:p>
        </w:tc>
        <w:tc>
          <w:tcPr>
            <w:tcW w:w="833" w:type="pct"/>
            <w:vAlign w:val="center"/>
          </w:tcPr>
          <w:p w14:paraId="7E3EABBA">
            <w:pPr>
              <w:pStyle w:val="182"/>
            </w:pPr>
            <w:r>
              <w:rPr>
                <w:rFonts w:hAnsi="宋体" w:cs="Segoe UI"/>
                <w:color w:val="000000"/>
                <w:szCs w:val="18"/>
                <w:lang w:bidi="ar"/>
              </w:rPr>
              <w:t>气体分析仪</w:t>
            </w:r>
          </w:p>
        </w:tc>
        <w:tc>
          <w:tcPr>
            <w:tcW w:w="834" w:type="pct"/>
            <w:vAlign w:val="center"/>
          </w:tcPr>
          <w:p w14:paraId="454EE84B">
            <w:pPr>
              <w:pStyle w:val="182"/>
            </w:pPr>
            <w:r>
              <w:rPr>
                <w:rFonts w:hAnsi="宋体" w:cs="Segoe UI"/>
                <w:color w:val="000000"/>
                <w:szCs w:val="18"/>
                <w:lang w:bidi="ar"/>
              </w:rPr>
              <w:t>≤50mg/m³</w:t>
            </w:r>
          </w:p>
        </w:tc>
        <w:tc>
          <w:tcPr>
            <w:tcW w:w="834" w:type="pct"/>
            <w:vAlign w:val="center"/>
          </w:tcPr>
          <w:p w14:paraId="7F326A78">
            <w:pPr>
              <w:pStyle w:val="182"/>
            </w:pPr>
            <w:r>
              <w:rPr>
                <w:rFonts w:hAnsi="宋体" w:cs="Segoe UI"/>
                <w:color w:val="000000"/>
                <w:szCs w:val="18"/>
                <w:lang w:bidi="ar"/>
              </w:rPr>
              <w:t>—</w:t>
            </w:r>
          </w:p>
        </w:tc>
      </w:tr>
      <w:tr w14:paraId="12EB1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DCD52AE">
            <w:pPr>
              <w:pStyle w:val="182"/>
            </w:pPr>
            <w:r>
              <w:rPr>
                <w:rFonts w:hAnsi="宋体" w:cs="Segoe UI"/>
                <w:color w:val="000000"/>
                <w:szCs w:val="18"/>
                <w:lang w:bidi="ar"/>
              </w:rPr>
              <w:t>离心机功率</w:t>
            </w:r>
          </w:p>
        </w:tc>
        <w:tc>
          <w:tcPr>
            <w:tcW w:w="834" w:type="pct"/>
            <w:vAlign w:val="center"/>
          </w:tcPr>
          <w:p w14:paraId="08E9A598">
            <w:pPr>
              <w:pStyle w:val="182"/>
            </w:pPr>
            <w:r>
              <w:rPr>
                <w:rFonts w:hAnsi="宋体" w:cs="Segoe UI"/>
                <w:color w:val="000000"/>
                <w:szCs w:val="18"/>
                <w:lang w:bidi="ar"/>
              </w:rPr>
              <w:t>kW</w:t>
            </w:r>
          </w:p>
        </w:tc>
        <w:tc>
          <w:tcPr>
            <w:tcW w:w="833" w:type="pct"/>
            <w:vAlign w:val="center"/>
          </w:tcPr>
          <w:p w14:paraId="06827D88">
            <w:pPr>
              <w:pStyle w:val="182"/>
            </w:pPr>
          </w:p>
        </w:tc>
        <w:tc>
          <w:tcPr>
            <w:tcW w:w="833" w:type="pct"/>
            <w:vAlign w:val="center"/>
          </w:tcPr>
          <w:p w14:paraId="57167E8E">
            <w:pPr>
              <w:pStyle w:val="182"/>
            </w:pPr>
            <w:r>
              <w:rPr>
                <w:rFonts w:hAnsi="宋体" w:cs="Segoe UI"/>
                <w:color w:val="000000"/>
                <w:szCs w:val="18"/>
                <w:lang w:bidi="ar"/>
              </w:rPr>
              <w:t>电表</w:t>
            </w:r>
          </w:p>
        </w:tc>
        <w:tc>
          <w:tcPr>
            <w:tcW w:w="834" w:type="pct"/>
            <w:vAlign w:val="center"/>
          </w:tcPr>
          <w:p w14:paraId="1501F79D">
            <w:pPr>
              <w:pStyle w:val="182"/>
            </w:pPr>
            <w:r>
              <w:rPr>
                <w:rFonts w:hAnsi="宋体" w:cs="Segoe UI"/>
                <w:color w:val="000000"/>
                <w:szCs w:val="18"/>
                <w:lang w:bidi="ar"/>
              </w:rPr>
              <w:t>—</w:t>
            </w:r>
          </w:p>
        </w:tc>
        <w:tc>
          <w:tcPr>
            <w:tcW w:w="834" w:type="pct"/>
            <w:vAlign w:val="center"/>
          </w:tcPr>
          <w:p w14:paraId="0784F657">
            <w:pPr>
              <w:pStyle w:val="182"/>
            </w:pPr>
            <w:r>
              <w:rPr>
                <w:rFonts w:hAnsi="宋体" w:cs="Segoe UI"/>
                <w:color w:val="000000"/>
                <w:szCs w:val="18"/>
                <w:lang w:bidi="ar"/>
              </w:rPr>
              <w:t>—</w:t>
            </w:r>
          </w:p>
        </w:tc>
      </w:tr>
      <w:tr w14:paraId="21F13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5F3E9486">
            <w:pPr>
              <w:pStyle w:val="182"/>
            </w:pPr>
            <w:r>
              <w:rPr>
                <w:rFonts w:hAnsi="宋体" w:cs="Segoe UI"/>
                <w:color w:val="000000"/>
                <w:szCs w:val="18"/>
                <w:lang w:bidi="ar"/>
              </w:rPr>
              <w:t>生化池污泥产率</w:t>
            </w:r>
          </w:p>
        </w:tc>
        <w:tc>
          <w:tcPr>
            <w:tcW w:w="834" w:type="pct"/>
            <w:vAlign w:val="center"/>
          </w:tcPr>
          <w:p w14:paraId="7ED4D163">
            <w:pPr>
              <w:pStyle w:val="182"/>
            </w:pPr>
            <w:r>
              <w:rPr>
                <w:rFonts w:hAnsi="宋体" w:cs="Segoe UI"/>
                <w:color w:val="000000"/>
                <w:szCs w:val="18"/>
                <w:lang w:bidi="ar"/>
              </w:rPr>
              <w:t>kgCOD/m³</w:t>
            </w:r>
          </w:p>
        </w:tc>
        <w:tc>
          <w:tcPr>
            <w:tcW w:w="833" w:type="pct"/>
            <w:vAlign w:val="center"/>
          </w:tcPr>
          <w:p w14:paraId="4571B4B5">
            <w:pPr>
              <w:pStyle w:val="182"/>
            </w:pPr>
          </w:p>
        </w:tc>
        <w:tc>
          <w:tcPr>
            <w:tcW w:w="833" w:type="pct"/>
            <w:vAlign w:val="center"/>
          </w:tcPr>
          <w:p w14:paraId="362E5367">
            <w:pPr>
              <w:pStyle w:val="182"/>
            </w:pPr>
            <w:r>
              <w:rPr>
                <w:rFonts w:hAnsi="宋体" w:cs="Segoe UI"/>
                <w:color w:val="000000"/>
                <w:szCs w:val="18"/>
                <w:lang w:bidi="ar"/>
              </w:rPr>
              <w:t>进出水COD差</w:t>
            </w:r>
          </w:p>
        </w:tc>
        <w:tc>
          <w:tcPr>
            <w:tcW w:w="834" w:type="pct"/>
            <w:vAlign w:val="center"/>
          </w:tcPr>
          <w:p w14:paraId="2A42737B">
            <w:pPr>
              <w:pStyle w:val="182"/>
            </w:pPr>
            <w:r>
              <w:rPr>
                <w:rFonts w:hAnsi="宋体" w:cs="Segoe UI"/>
                <w:color w:val="000000"/>
                <w:szCs w:val="18"/>
                <w:lang w:bidi="ar"/>
              </w:rPr>
              <w:t>—</w:t>
            </w:r>
          </w:p>
        </w:tc>
        <w:tc>
          <w:tcPr>
            <w:tcW w:w="834" w:type="pct"/>
            <w:vAlign w:val="center"/>
          </w:tcPr>
          <w:p w14:paraId="52550016">
            <w:pPr>
              <w:pStyle w:val="182"/>
            </w:pPr>
            <w:r>
              <w:rPr>
                <w:rFonts w:hAnsi="宋体" w:cs="Segoe UI"/>
                <w:color w:val="000000"/>
                <w:szCs w:val="18"/>
                <w:lang w:bidi="ar"/>
              </w:rPr>
              <w:t>—</w:t>
            </w:r>
          </w:p>
        </w:tc>
      </w:tr>
    </w:tbl>
    <w:p w14:paraId="3D64759C">
      <w:pPr>
        <w:pStyle w:val="60"/>
        <w:ind w:firstLine="420"/>
      </w:pPr>
    </w:p>
    <w:p w14:paraId="5200AF72">
      <w:pPr>
        <w:pStyle w:val="60"/>
        <w:ind w:firstLine="420"/>
      </w:pPr>
    </w:p>
    <w:p w14:paraId="7F579714">
      <w:pPr>
        <w:pStyle w:val="60"/>
        <w:ind w:firstLine="420"/>
      </w:pPr>
    </w:p>
    <w:p w14:paraId="5E4BE555">
      <w:pPr>
        <w:pStyle w:val="60"/>
        <w:ind w:firstLine="420"/>
      </w:pPr>
    </w:p>
    <w:p w14:paraId="20A9CC84">
      <w:pPr>
        <w:pStyle w:val="60"/>
        <w:ind w:firstLine="420"/>
      </w:pPr>
    </w:p>
    <w:p w14:paraId="2D17A73D">
      <w:pPr>
        <w:pStyle w:val="60"/>
        <w:ind w:firstLine="420"/>
      </w:pPr>
    </w:p>
    <w:p w14:paraId="7F77AD57">
      <w:pPr>
        <w:pStyle w:val="60"/>
        <w:ind w:firstLine="420"/>
      </w:pPr>
    </w:p>
    <w:p w14:paraId="2D41EF2C">
      <w:pPr>
        <w:pStyle w:val="60"/>
        <w:ind w:firstLine="420"/>
      </w:pPr>
    </w:p>
    <w:p w14:paraId="55813B88">
      <w:pPr>
        <w:pStyle w:val="60"/>
        <w:ind w:firstLine="420"/>
      </w:pPr>
    </w:p>
    <w:p w14:paraId="59D5B45C">
      <w:pPr>
        <w:pStyle w:val="60"/>
        <w:ind w:firstLine="420"/>
      </w:pPr>
    </w:p>
    <w:p w14:paraId="76751319">
      <w:pPr>
        <w:pStyle w:val="60"/>
        <w:ind w:firstLine="420"/>
      </w:pPr>
    </w:p>
    <w:p w14:paraId="046A9295">
      <w:pPr>
        <w:pStyle w:val="60"/>
        <w:ind w:firstLine="420"/>
      </w:pPr>
    </w:p>
    <w:p w14:paraId="07861235">
      <w:pPr>
        <w:pStyle w:val="60"/>
        <w:ind w:firstLine="420"/>
      </w:pPr>
    </w:p>
    <w:p w14:paraId="3D7537F2">
      <w:pPr>
        <w:pStyle w:val="60"/>
        <w:ind w:firstLine="420"/>
      </w:pPr>
      <w:r>
        <w:rPr>
          <w:rFonts w:hint="eastAsia"/>
        </w:rPr>
        <w:t>包装储运阶段数据采集表见表A.3。</w:t>
      </w:r>
    </w:p>
    <w:p w14:paraId="54F01DB3">
      <w:pPr>
        <w:pStyle w:val="81"/>
        <w:spacing w:before="120" w:after="120"/>
      </w:pPr>
      <w:r>
        <w:rPr>
          <w:rFonts w:hint="eastAsia"/>
        </w:rPr>
        <w:t>包装储运阶段数据采集表</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3"/>
        <w:gridCol w:w="1563"/>
        <w:gridCol w:w="1562"/>
        <w:gridCol w:w="1562"/>
        <w:gridCol w:w="1564"/>
        <w:gridCol w:w="1560"/>
      </w:tblGrid>
      <w:tr w14:paraId="1368F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4" w:type="pct"/>
            <w:tcBorders>
              <w:top w:val="single" w:color="auto" w:sz="8" w:space="0"/>
              <w:bottom w:val="single" w:color="auto" w:sz="8" w:space="0"/>
            </w:tcBorders>
            <w:vAlign w:val="center"/>
          </w:tcPr>
          <w:p w14:paraId="1AB02D41">
            <w:pPr>
              <w:pStyle w:val="182"/>
            </w:pPr>
            <w:r>
              <w:rPr>
                <w:rFonts w:hAnsi="宋体" w:cs="Segoe UI"/>
                <w:color w:val="000000"/>
                <w:szCs w:val="18"/>
                <w:lang w:bidi="ar"/>
              </w:rPr>
              <w:t>环节</w:t>
            </w:r>
          </w:p>
        </w:tc>
        <w:tc>
          <w:tcPr>
            <w:tcW w:w="834" w:type="pct"/>
            <w:tcBorders>
              <w:top w:val="single" w:color="auto" w:sz="8" w:space="0"/>
              <w:bottom w:val="single" w:color="auto" w:sz="8" w:space="0"/>
            </w:tcBorders>
            <w:vAlign w:val="center"/>
          </w:tcPr>
          <w:p w14:paraId="73C4C631">
            <w:pPr>
              <w:pStyle w:val="182"/>
            </w:pPr>
            <w:r>
              <w:rPr>
                <w:rFonts w:hAnsi="宋体" w:cs="Segoe UI"/>
                <w:color w:val="000000"/>
                <w:szCs w:val="18"/>
                <w:lang w:bidi="ar"/>
              </w:rPr>
              <w:t>单位</w:t>
            </w:r>
          </w:p>
        </w:tc>
        <w:tc>
          <w:tcPr>
            <w:tcW w:w="833" w:type="pct"/>
            <w:tcBorders>
              <w:top w:val="single" w:color="auto" w:sz="8" w:space="0"/>
              <w:bottom w:val="single" w:color="auto" w:sz="8" w:space="0"/>
            </w:tcBorders>
            <w:vAlign w:val="center"/>
          </w:tcPr>
          <w:p w14:paraId="5EF42CC0">
            <w:pPr>
              <w:pStyle w:val="182"/>
            </w:pPr>
            <w:r>
              <w:rPr>
                <w:rFonts w:hAnsi="宋体" w:cs="Segoe UI"/>
                <w:color w:val="000000"/>
                <w:szCs w:val="18"/>
                <w:lang w:bidi="ar"/>
              </w:rPr>
              <w:t>填写区域</w:t>
            </w:r>
          </w:p>
        </w:tc>
        <w:tc>
          <w:tcPr>
            <w:tcW w:w="833" w:type="pct"/>
            <w:tcBorders>
              <w:top w:val="single" w:color="auto" w:sz="8" w:space="0"/>
              <w:bottom w:val="single" w:color="auto" w:sz="8" w:space="0"/>
            </w:tcBorders>
            <w:vAlign w:val="center"/>
          </w:tcPr>
          <w:p w14:paraId="5865B1C4">
            <w:pPr>
              <w:pStyle w:val="182"/>
            </w:pPr>
            <w:r>
              <w:rPr>
                <w:rFonts w:hAnsi="宋体" w:cs="Segoe UI"/>
                <w:color w:val="000000"/>
                <w:szCs w:val="18"/>
                <w:lang w:bidi="ar"/>
              </w:rPr>
              <w:t>采集指引</w:t>
            </w:r>
          </w:p>
        </w:tc>
        <w:tc>
          <w:tcPr>
            <w:tcW w:w="834" w:type="pct"/>
            <w:tcBorders>
              <w:top w:val="single" w:color="auto" w:sz="8" w:space="0"/>
              <w:bottom w:val="single" w:color="auto" w:sz="8" w:space="0"/>
            </w:tcBorders>
            <w:vAlign w:val="center"/>
          </w:tcPr>
          <w:p w14:paraId="50619B3F">
            <w:pPr>
              <w:pStyle w:val="182"/>
            </w:pPr>
            <w:r>
              <w:rPr>
                <w:rFonts w:hint="eastAsia" w:hAnsi="宋体" w:cs="宋体"/>
                <w:color w:val="000000"/>
                <w:szCs w:val="18"/>
                <w:lang w:bidi="ar"/>
              </w:rPr>
              <w:t>关键控制点</w:t>
            </w:r>
          </w:p>
        </w:tc>
        <w:tc>
          <w:tcPr>
            <w:tcW w:w="834" w:type="pct"/>
            <w:tcBorders>
              <w:top w:val="single" w:color="auto" w:sz="8" w:space="0"/>
              <w:bottom w:val="single" w:color="auto" w:sz="8" w:space="0"/>
            </w:tcBorders>
            <w:vAlign w:val="center"/>
          </w:tcPr>
          <w:p w14:paraId="4B8DA111">
            <w:pPr>
              <w:pStyle w:val="182"/>
            </w:pPr>
            <w:r>
              <w:rPr>
                <w:rFonts w:hAnsi="宋体" w:cs="Segoe UI"/>
                <w:color w:val="000000"/>
                <w:szCs w:val="18"/>
                <w:lang w:bidi="ar"/>
              </w:rPr>
              <w:t>寒区专项</w:t>
            </w:r>
          </w:p>
        </w:tc>
      </w:tr>
      <w:tr w14:paraId="37075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tcBorders>
              <w:top w:val="single" w:color="auto" w:sz="8" w:space="0"/>
            </w:tcBorders>
            <w:vAlign w:val="center"/>
          </w:tcPr>
          <w:p w14:paraId="3D3B1B33">
            <w:pPr>
              <w:pStyle w:val="182"/>
            </w:pPr>
            <w:r>
              <w:rPr>
                <w:rFonts w:hAnsi="宋体" w:cs="Segoe UI"/>
                <w:color w:val="000000"/>
                <w:szCs w:val="18"/>
                <w:lang w:bidi="ar"/>
              </w:rPr>
              <w:t>厂区仓储</w:t>
            </w:r>
          </w:p>
        </w:tc>
        <w:tc>
          <w:tcPr>
            <w:tcW w:w="834" w:type="pct"/>
            <w:tcBorders>
              <w:top w:val="single" w:color="auto" w:sz="8" w:space="0"/>
            </w:tcBorders>
            <w:vAlign w:val="center"/>
          </w:tcPr>
          <w:p w14:paraId="1F8F401B">
            <w:pPr>
              <w:pStyle w:val="182"/>
            </w:pPr>
          </w:p>
        </w:tc>
        <w:tc>
          <w:tcPr>
            <w:tcW w:w="833" w:type="pct"/>
            <w:tcBorders>
              <w:top w:val="single" w:color="auto" w:sz="8" w:space="0"/>
            </w:tcBorders>
            <w:vAlign w:val="center"/>
          </w:tcPr>
          <w:p w14:paraId="559B17B6">
            <w:pPr>
              <w:pStyle w:val="182"/>
            </w:pPr>
          </w:p>
        </w:tc>
        <w:tc>
          <w:tcPr>
            <w:tcW w:w="833" w:type="pct"/>
            <w:tcBorders>
              <w:top w:val="single" w:color="auto" w:sz="8" w:space="0"/>
            </w:tcBorders>
            <w:vAlign w:val="center"/>
          </w:tcPr>
          <w:p w14:paraId="39E97B08">
            <w:pPr>
              <w:pStyle w:val="182"/>
            </w:pPr>
          </w:p>
        </w:tc>
        <w:tc>
          <w:tcPr>
            <w:tcW w:w="834" w:type="pct"/>
            <w:tcBorders>
              <w:top w:val="single" w:color="auto" w:sz="8" w:space="0"/>
            </w:tcBorders>
            <w:vAlign w:val="center"/>
          </w:tcPr>
          <w:p w14:paraId="4D21BA8C">
            <w:pPr>
              <w:pStyle w:val="182"/>
            </w:pPr>
          </w:p>
        </w:tc>
        <w:tc>
          <w:tcPr>
            <w:tcW w:w="834" w:type="pct"/>
            <w:tcBorders>
              <w:top w:val="single" w:color="auto" w:sz="8" w:space="0"/>
            </w:tcBorders>
            <w:vAlign w:val="center"/>
          </w:tcPr>
          <w:p w14:paraId="21FE6221">
            <w:pPr>
              <w:pStyle w:val="182"/>
            </w:pPr>
          </w:p>
        </w:tc>
      </w:tr>
      <w:tr w14:paraId="28011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02B1B16">
            <w:pPr>
              <w:pStyle w:val="182"/>
            </w:pPr>
            <w:r>
              <w:rPr>
                <w:rFonts w:hAnsi="宋体" w:cs="Segoe UI"/>
                <w:color w:val="000000"/>
                <w:szCs w:val="18"/>
                <w:lang w:bidi="ar"/>
              </w:rPr>
              <w:t>冷藏库温度波动</w:t>
            </w:r>
          </w:p>
        </w:tc>
        <w:tc>
          <w:tcPr>
            <w:tcW w:w="834" w:type="pct"/>
            <w:vAlign w:val="center"/>
          </w:tcPr>
          <w:p w14:paraId="00BAF8BB">
            <w:pPr>
              <w:pStyle w:val="182"/>
            </w:pPr>
            <w:r>
              <w:rPr>
                <w:rFonts w:hAnsi="宋体" w:cs="Segoe UI"/>
                <w:color w:val="000000"/>
                <w:szCs w:val="18"/>
                <w:lang w:bidi="ar"/>
              </w:rPr>
              <w:t>±℃</w:t>
            </w:r>
          </w:p>
        </w:tc>
        <w:tc>
          <w:tcPr>
            <w:tcW w:w="833" w:type="pct"/>
            <w:vAlign w:val="center"/>
          </w:tcPr>
          <w:p w14:paraId="1FE4DA54">
            <w:pPr>
              <w:pStyle w:val="182"/>
            </w:pPr>
          </w:p>
        </w:tc>
        <w:tc>
          <w:tcPr>
            <w:tcW w:w="833" w:type="pct"/>
            <w:vAlign w:val="center"/>
          </w:tcPr>
          <w:p w14:paraId="29988B6E">
            <w:pPr>
              <w:pStyle w:val="182"/>
            </w:pPr>
            <w:r>
              <w:rPr>
                <w:rFonts w:hAnsi="宋体" w:cs="Segoe UI"/>
                <w:color w:val="000000"/>
                <w:szCs w:val="18"/>
                <w:lang w:bidi="ar"/>
              </w:rPr>
              <w:t>温控记录仪</w:t>
            </w:r>
          </w:p>
        </w:tc>
        <w:tc>
          <w:tcPr>
            <w:tcW w:w="834" w:type="pct"/>
            <w:vAlign w:val="center"/>
          </w:tcPr>
          <w:p w14:paraId="5C29C1CE">
            <w:pPr>
              <w:pStyle w:val="182"/>
            </w:pPr>
            <w:r>
              <w:rPr>
                <w:rFonts w:hAnsi="宋体" w:cs="Segoe UI"/>
                <w:color w:val="000000"/>
                <w:szCs w:val="18"/>
                <w:lang w:bidi="ar"/>
              </w:rPr>
              <w:t>≤±0.5℃</w:t>
            </w:r>
          </w:p>
        </w:tc>
        <w:tc>
          <w:tcPr>
            <w:tcW w:w="834" w:type="pct"/>
            <w:vAlign w:val="center"/>
          </w:tcPr>
          <w:p w14:paraId="48FCDEEE">
            <w:pPr>
              <w:pStyle w:val="182"/>
            </w:pPr>
            <w:r>
              <w:rPr>
                <w:rFonts w:hAnsi="宋体" w:cs="Segoe UI"/>
                <w:color w:val="000000"/>
                <w:szCs w:val="18"/>
                <w:lang w:bidi="ar"/>
              </w:rPr>
              <w:t>—</w:t>
            </w:r>
          </w:p>
        </w:tc>
      </w:tr>
      <w:tr w14:paraId="0BD4D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4E259023">
            <w:pPr>
              <w:pStyle w:val="182"/>
            </w:pPr>
            <w:r>
              <w:rPr>
                <w:rFonts w:hAnsi="宋体" w:cs="Segoe UI"/>
                <w:color w:val="000000"/>
                <w:szCs w:val="18"/>
                <w:lang w:bidi="ar"/>
              </w:rPr>
              <w:t>除霜周期能耗</w:t>
            </w:r>
          </w:p>
        </w:tc>
        <w:tc>
          <w:tcPr>
            <w:tcW w:w="834" w:type="pct"/>
            <w:vAlign w:val="center"/>
          </w:tcPr>
          <w:p w14:paraId="121775F8">
            <w:pPr>
              <w:pStyle w:val="182"/>
            </w:pPr>
            <w:r>
              <w:rPr>
                <w:rFonts w:hAnsi="宋体" w:cs="Segoe UI"/>
                <w:color w:val="000000"/>
                <w:szCs w:val="18"/>
                <w:lang w:bidi="ar"/>
              </w:rPr>
              <w:t>kWh/次</w:t>
            </w:r>
          </w:p>
        </w:tc>
        <w:tc>
          <w:tcPr>
            <w:tcW w:w="833" w:type="pct"/>
            <w:vAlign w:val="center"/>
          </w:tcPr>
          <w:p w14:paraId="29156A1C">
            <w:pPr>
              <w:pStyle w:val="182"/>
            </w:pPr>
          </w:p>
        </w:tc>
        <w:tc>
          <w:tcPr>
            <w:tcW w:w="833" w:type="pct"/>
            <w:vAlign w:val="center"/>
          </w:tcPr>
          <w:p w14:paraId="359484CC">
            <w:pPr>
              <w:pStyle w:val="182"/>
            </w:pPr>
            <w:r>
              <w:rPr>
                <w:rFonts w:hAnsi="宋体" w:cs="Segoe UI"/>
                <w:color w:val="000000"/>
                <w:szCs w:val="18"/>
                <w:lang w:bidi="ar"/>
              </w:rPr>
              <w:t>电表分项计量</w:t>
            </w:r>
          </w:p>
        </w:tc>
        <w:tc>
          <w:tcPr>
            <w:tcW w:w="834" w:type="pct"/>
            <w:vAlign w:val="center"/>
          </w:tcPr>
          <w:p w14:paraId="1DB74AAC">
            <w:pPr>
              <w:pStyle w:val="182"/>
            </w:pPr>
            <w:r>
              <w:rPr>
                <w:rFonts w:hAnsi="宋体" w:cs="Segoe UI"/>
                <w:color w:val="000000"/>
                <w:szCs w:val="18"/>
                <w:lang w:bidi="ar"/>
              </w:rPr>
              <w:t>—</w:t>
            </w:r>
          </w:p>
        </w:tc>
        <w:tc>
          <w:tcPr>
            <w:tcW w:w="834" w:type="pct"/>
            <w:vAlign w:val="center"/>
          </w:tcPr>
          <w:p w14:paraId="1BB863AE">
            <w:pPr>
              <w:pStyle w:val="182"/>
            </w:pPr>
            <w:r>
              <w:rPr>
                <w:rFonts w:hAnsi="宋体" w:cs="Segoe UI"/>
                <w:color w:val="000000"/>
                <w:szCs w:val="18"/>
                <w:lang w:bidi="ar"/>
              </w:rPr>
              <w:t>冬季×1.2</w:t>
            </w:r>
          </w:p>
        </w:tc>
      </w:tr>
      <w:tr w14:paraId="011B8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34" w:type="pct"/>
            <w:vAlign w:val="center"/>
          </w:tcPr>
          <w:p w14:paraId="7E57F9C2">
            <w:pPr>
              <w:pStyle w:val="182"/>
            </w:pPr>
            <w:r>
              <w:rPr>
                <w:rFonts w:hAnsi="宋体" w:cs="Segoe UI"/>
                <w:color w:val="000000"/>
                <w:szCs w:val="18"/>
                <w:lang w:bidi="ar"/>
              </w:rPr>
              <w:t>托盘抗压强度</w:t>
            </w:r>
          </w:p>
        </w:tc>
        <w:tc>
          <w:tcPr>
            <w:tcW w:w="834" w:type="pct"/>
            <w:vAlign w:val="center"/>
          </w:tcPr>
          <w:p w14:paraId="10157C4B">
            <w:pPr>
              <w:pStyle w:val="182"/>
            </w:pPr>
            <w:r>
              <w:rPr>
                <w:rFonts w:hAnsi="宋体" w:cs="Segoe UI"/>
                <w:color w:val="000000"/>
                <w:szCs w:val="18"/>
                <w:lang w:bidi="ar"/>
              </w:rPr>
              <w:t>kg</w:t>
            </w:r>
          </w:p>
        </w:tc>
        <w:tc>
          <w:tcPr>
            <w:tcW w:w="833" w:type="pct"/>
            <w:vAlign w:val="center"/>
          </w:tcPr>
          <w:p w14:paraId="234E039E">
            <w:pPr>
              <w:pStyle w:val="182"/>
            </w:pPr>
          </w:p>
        </w:tc>
        <w:tc>
          <w:tcPr>
            <w:tcW w:w="833" w:type="pct"/>
            <w:vAlign w:val="center"/>
          </w:tcPr>
          <w:p w14:paraId="02ED8AFC">
            <w:pPr>
              <w:pStyle w:val="182"/>
            </w:pPr>
            <w:r>
              <w:rPr>
                <w:rFonts w:hAnsi="宋体" w:cs="Segoe UI"/>
                <w:color w:val="000000"/>
                <w:szCs w:val="18"/>
                <w:lang w:bidi="ar"/>
              </w:rPr>
              <w:t>压力试验机</w:t>
            </w:r>
          </w:p>
        </w:tc>
        <w:tc>
          <w:tcPr>
            <w:tcW w:w="834" w:type="pct"/>
            <w:vAlign w:val="center"/>
          </w:tcPr>
          <w:p w14:paraId="6DF99D11">
            <w:pPr>
              <w:pStyle w:val="182"/>
            </w:pPr>
            <w:r>
              <w:rPr>
                <w:rFonts w:hAnsi="宋体" w:cs="Segoe UI"/>
                <w:color w:val="000000"/>
                <w:szCs w:val="18"/>
                <w:lang w:bidi="ar"/>
              </w:rPr>
              <w:t>≥1000kg</w:t>
            </w:r>
          </w:p>
        </w:tc>
        <w:tc>
          <w:tcPr>
            <w:tcW w:w="834" w:type="pct"/>
            <w:vAlign w:val="center"/>
          </w:tcPr>
          <w:p w14:paraId="1C0B85DF">
            <w:pPr>
              <w:pStyle w:val="182"/>
            </w:pPr>
            <w:r>
              <w:rPr>
                <w:rFonts w:hAnsi="宋体" w:cs="Segoe UI"/>
                <w:color w:val="000000"/>
                <w:szCs w:val="18"/>
                <w:lang w:bidi="ar"/>
              </w:rPr>
              <w:t>—</w:t>
            </w:r>
          </w:p>
        </w:tc>
      </w:tr>
      <w:tr w14:paraId="51692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191A2BD6">
            <w:pPr>
              <w:pStyle w:val="182"/>
            </w:pPr>
            <w:r>
              <w:rPr>
                <w:rFonts w:hAnsi="宋体" w:cs="Segoe UI"/>
                <w:color w:val="000000"/>
                <w:szCs w:val="18"/>
                <w:lang w:bidi="ar"/>
              </w:rPr>
              <w:t>物流运输</w:t>
            </w:r>
          </w:p>
        </w:tc>
        <w:tc>
          <w:tcPr>
            <w:tcW w:w="834" w:type="pct"/>
            <w:vAlign w:val="center"/>
          </w:tcPr>
          <w:p w14:paraId="1C107ADA">
            <w:pPr>
              <w:pStyle w:val="182"/>
            </w:pPr>
          </w:p>
        </w:tc>
        <w:tc>
          <w:tcPr>
            <w:tcW w:w="833" w:type="pct"/>
            <w:vAlign w:val="center"/>
          </w:tcPr>
          <w:p w14:paraId="3F45AE76">
            <w:pPr>
              <w:pStyle w:val="182"/>
            </w:pPr>
          </w:p>
        </w:tc>
        <w:tc>
          <w:tcPr>
            <w:tcW w:w="833" w:type="pct"/>
            <w:vAlign w:val="center"/>
          </w:tcPr>
          <w:p w14:paraId="6F42BBF8">
            <w:pPr>
              <w:pStyle w:val="182"/>
            </w:pPr>
          </w:p>
        </w:tc>
        <w:tc>
          <w:tcPr>
            <w:tcW w:w="834" w:type="pct"/>
            <w:vAlign w:val="center"/>
          </w:tcPr>
          <w:p w14:paraId="6E320C2E">
            <w:pPr>
              <w:pStyle w:val="182"/>
            </w:pPr>
          </w:p>
        </w:tc>
        <w:tc>
          <w:tcPr>
            <w:tcW w:w="834" w:type="pct"/>
            <w:vAlign w:val="center"/>
          </w:tcPr>
          <w:p w14:paraId="110A40EB">
            <w:pPr>
              <w:pStyle w:val="182"/>
            </w:pPr>
          </w:p>
        </w:tc>
      </w:tr>
      <w:tr w14:paraId="7EACB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49672679">
            <w:pPr>
              <w:pStyle w:val="182"/>
            </w:pPr>
            <w:r>
              <w:rPr>
                <w:rFonts w:hAnsi="宋体" w:cs="Segoe UI"/>
                <w:color w:val="000000"/>
                <w:szCs w:val="18"/>
                <w:lang w:bidi="ar"/>
              </w:rPr>
              <w:t>车厢容积利用率</w:t>
            </w:r>
          </w:p>
        </w:tc>
        <w:tc>
          <w:tcPr>
            <w:tcW w:w="834" w:type="pct"/>
            <w:vAlign w:val="center"/>
          </w:tcPr>
          <w:p w14:paraId="153BBA10">
            <w:pPr>
              <w:pStyle w:val="182"/>
            </w:pPr>
            <w:r>
              <w:rPr>
                <w:rFonts w:hAnsi="宋体" w:cs="Segoe UI"/>
                <w:color w:val="000000"/>
                <w:szCs w:val="18"/>
                <w:lang w:bidi="ar"/>
              </w:rPr>
              <w:t>%</w:t>
            </w:r>
          </w:p>
        </w:tc>
        <w:tc>
          <w:tcPr>
            <w:tcW w:w="833" w:type="pct"/>
            <w:vAlign w:val="center"/>
          </w:tcPr>
          <w:p w14:paraId="2F5DC3F1">
            <w:pPr>
              <w:pStyle w:val="182"/>
            </w:pPr>
          </w:p>
        </w:tc>
        <w:tc>
          <w:tcPr>
            <w:tcW w:w="833" w:type="pct"/>
            <w:vAlign w:val="center"/>
          </w:tcPr>
          <w:p w14:paraId="3B32BD02">
            <w:pPr>
              <w:pStyle w:val="182"/>
            </w:pPr>
            <w:r>
              <w:rPr>
                <w:rFonts w:hAnsi="宋体" w:cs="Segoe UI"/>
                <w:color w:val="000000"/>
                <w:szCs w:val="18"/>
                <w:lang w:bidi="ar"/>
              </w:rPr>
              <w:t>装载清单</w:t>
            </w:r>
          </w:p>
        </w:tc>
        <w:tc>
          <w:tcPr>
            <w:tcW w:w="834" w:type="pct"/>
            <w:vAlign w:val="center"/>
          </w:tcPr>
          <w:p w14:paraId="2489C201">
            <w:pPr>
              <w:pStyle w:val="182"/>
            </w:pPr>
            <w:r>
              <w:rPr>
                <w:rFonts w:hAnsi="宋体" w:cs="Segoe UI"/>
                <w:color w:val="000000"/>
                <w:szCs w:val="18"/>
                <w:lang w:bidi="ar"/>
              </w:rPr>
              <w:t>(实际容积/额定容积)×100%</w:t>
            </w:r>
          </w:p>
        </w:tc>
        <w:tc>
          <w:tcPr>
            <w:tcW w:w="834" w:type="pct"/>
            <w:vAlign w:val="center"/>
          </w:tcPr>
          <w:p w14:paraId="53E476C1">
            <w:pPr>
              <w:pStyle w:val="182"/>
            </w:pPr>
            <w:r>
              <w:rPr>
                <w:rFonts w:hAnsi="宋体" w:cs="Segoe UI"/>
                <w:color w:val="000000"/>
                <w:szCs w:val="18"/>
                <w:lang w:bidi="ar"/>
              </w:rPr>
              <w:t>冰雪路面×0.9</w:t>
            </w:r>
          </w:p>
        </w:tc>
      </w:tr>
      <w:tr w14:paraId="27A08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4295DCBB">
            <w:pPr>
              <w:pStyle w:val="182"/>
            </w:pPr>
            <w:r>
              <w:rPr>
                <w:rFonts w:hAnsi="宋体" w:cs="Segoe UI"/>
                <w:color w:val="000000"/>
                <w:szCs w:val="18"/>
                <w:lang w:bidi="ar"/>
              </w:rPr>
              <w:t>制冷剂年泄漏率</w:t>
            </w:r>
          </w:p>
        </w:tc>
        <w:tc>
          <w:tcPr>
            <w:tcW w:w="834" w:type="pct"/>
            <w:vAlign w:val="center"/>
          </w:tcPr>
          <w:p w14:paraId="0A41D55E">
            <w:pPr>
              <w:pStyle w:val="182"/>
            </w:pPr>
            <w:r>
              <w:rPr>
                <w:rFonts w:hAnsi="宋体" w:cs="Segoe UI"/>
                <w:color w:val="000000"/>
                <w:szCs w:val="18"/>
                <w:lang w:bidi="ar"/>
              </w:rPr>
              <w:t>%/年</w:t>
            </w:r>
          </w:p>
        </w:tc>
        <w:tc>
          <w:tcPr>
            <w:tcW w:w="833" w:type="pct"/>
            <w:vAlign w:val="center"/>
          </w:tcPr>
          <w:p w14:paraId="1AA32C0D">
            <w:pPr>
              <w:pStyle w:val="182"/>
            </w:pPr>
          </w:p>
        </w:tc>
        <w:tc>
          <w:tcPr>
            <w:tcW w:w="833" w:type="pct"/>
            <w:vAlign w:val="center"/>
          </w:tcPr>
          <w:p w14:paraId="00DDAB58">
            <w:pPr>
              <w:pStyle w:val="182"/>
            </w:pPr>
            <w:r>
              <w:rPr>
                <w:rFonts w:hAnsi="宋体" w:cs="Segoe UI"/>
                <w:color w:val="000000"/>
                <w:szCs w:val="18"/>
                <w:lang w:bidi="ar"/>
              </w:rPr>
              <w:t>年检报告</w:t>
            </w:r>
          </w:p>
        </w:tc>
        <w:tc>
          <w:tcPr>
            <w:tcW w:w="834" w:type="pct"/>
            <w:vAlign w:val="center"/>
          </w:tcPr>
          <w:p w14:paraId="5303006C">
            <w:pPr>
              <w:pStyle w:val="182"/>
            </w:pPr>
            <w:r>
              <w:rPr>
                <w:rFonts w:hAnsi="宋体" w:cs="Segoe UI"/>
                <w:color w:val="000000"/>
                <w:szCs w:val="18"/>
                <w:lang w:bidi="ar"/>
              </w:rPr>
              <w:t>R404A≤8%</w:t>
            </w:r>
          </w:p>
        </w:tc>
        <w:tc>
          <w:tcPr>
            <w:tcW w:w="834" w:type="pct"/>
            <w:vAlign w:val="center"/>
          </w:tcPr>
          <w:p w14:paraId="35340494">
            <w:pPr>
              <w:pStyle w:val="182"/>
            </w:pPr>
            <w:r>
              <w:rPr>
                <w:rFonts w:hAnsi="宋体" w:cs="Segoe UI"/>
                <w:color w:val="000000"/>
                <w:szCs w:val="18"/>
                <w:lang w:bidi="ar"/>
              </w:rPr>
              <w:t>寒区≤12%</w:t>
            </w:r>
          </w:p>
        </w:tc>
      </w:tr>
      <w:tr w14:paraId="669FF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53C6AE90">
            <w:pPr>
              <w:pStyle w:val="182"/>
            </w:pPr>
            <w:r>
              <w:rPr>
                <w:rFonts w:hAnsi="宋体" w:cs="Segoe UI"/>
                <w:color w:val="000000"/>
                <w:szCs w:val="18"/>
                <w:lang w:bidi="ar"/>
              </w:rPr>
              <w:t>车厢门开启时长</w:t>
            </w:r>
          </w:p>
        </w:tc>
        <w:tc>
          <w:tcPr>
            <w:tcW w:w="834" w:type="pct"/>
            <w:vAlign w:val="center"/>
          </w:tcPr>
          <w:p w14:paraId="0823BE15">
            <w:pPr>
              <w:pStyle w:val="182"/>
            </w:pPr>
            <w:r>
              <w:rPr>
                <w:rFonts w:hAnsi="宋体" w:cs="Segoe UI"/>
                <w:color w:val="000000"/>
                <w:szCs w:val="18"/>
                <w:lang w:bidi="ar"/>
              </w:rPr>
              <w:t>min/次</w:t>
            </w:r>
          </w:p>
        </w:tc>
        <w:tc>
          <w:tcPr>
            <w:tcW w:w="833" w:type="pct"/>
            <w:vAlign w:val="center"/>
          </w:tcPr>
          <w:p w14:paraId="5E3FD117">
            <w:pPr>
              <w:pStyle w:val="182"/>
            </w:pPr>
          </w:p>
        </w:tc>
        <w:tc>
          <w:tcPr>
            <w:tcW w:w="833" w:type="pct"/>
            <w:vAlign w:val="center"/>
          </w:tcPr>
          <w:p w14:paraId="514558AA">
            <w:pPr>
              <w:pStyle w:val="182"/>
            </w:pPr>
            <w:r>
              <w:rPr>
                <w:rFonts w:hAnsi="宋体" w:cs="Segoe UI"/>
                <w:color w:val="000000"/>
                <w:szCs w:val="18"/>
                <w:lang w:bidi="ar"/>
              </w:rPr>
              <w:t>门磁传感器</w:t>
            </w:r>
          </w:p>
        </w:tc>
        <w:tc>
          <w:tcPr>
            <w:tcW w:w="834" w:type="pct"/>
            <w:vAlign w:val="center"/>
          </w:tcPr>
          <w:p w14:paraId="6C674E84">
            <w:pPr>
              <w:pStyle w:val="182"/>
            </w:pPr>
            <w:r>
              <w:rPr>
                <w:rFonts w:hAnsi="宋体" w:cs="Segoe UI"/>
                <w:color w:val="000000"/>
                <w:szCs w:val="18"/>
                <w:lang w:bidi="ar"/>
              </w:rPr>
              <w:t>≤3min/次</w:t>
            </w:r>
          </w:p>
        </w:tc>
        <w:tc>
          <w:tcPr>
            <w:tcW w:w="834" w:type="pct"/>
            <w:vAlign w:val="center"/>
          </w:tcPr>
          <w:p w14:paraId="523C1936">
            <w:pPr>
              <w:pStyle w:val="182"/>
            </w:pPr>
            <w:r>
              <w:rPr>
                <w:rFonts w:hAnsi="宋体" w:cs="Segoe UI"/>
                <w:color w:val="000000"/>
                <w:szCs w:val="18"/>
                <w:lang w:bidi="ar"/>
              </w:rPr>
              <w:t>—</w:t>
            </w:r>
          </w:p>
        </w:tc>
      </w:tr>
      <w:tr w14:paraId="364FE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22FF555E">
            <w:pPr>
              <w:pStyle w:val="182"/>
            </w:pPr>
            <w:r>
              <w:rPr>
                <w:rFonts w:hAnsi="宋体" w:cs="Segoe UI"/>
                <w:color w:val="000000"/>
                <w:szCs w:val="18"/>
                <w:lang w:bidi="ar"/>
              </w:rPr>
              <w:t>制冷待机能耗</w:t>
            </w:r>
          </w:p>
        </w:tc>
        <w:tc>
          <w:tcPr>
            <w:tcW w:w="834" w:type="pct"/>
            <w:vAlign w:val="center"/>
          </w:tcPr>
          <w:p w14:paraId="387ACEE4">
            <w:pPr>
              <w:pStyle w:val="182"/>
            </w:pPr>
            <w:r>
              <w:rPr>
                <w:rFonts w:hAnsi="宋体" w:cs="Segoe UI"/>
                <w:color w:val="000000"/>
                <w:szCs w:val="18"/>
                <w:lang w:bidi="ar"/>
              </w:rPr>
              <w:t>kWh/h</w:t>
            </w:r>
          </w:p>
        </w:tc>
        <w:tc>
          <w:tcPr>
            <w:tcW w:w="833" w:type="pct"/>
            <w:vAlign w:val="center"/>
          </w:tcPr>
          <w:p w14:paraId="5A5FCF34">
            <w:pPr>
              <w:pStyle w:val="182"/>
            </w:pPr>
          </w:p>
        </w:tc>
        <w:tc>
          <w:tcPr>
            <w:tcW w:w="833" w:type="pct"/>
            <w:vAlign w:val="center"/>
          </w:tcPr>
          <w:p w14:paraId="289CD795">
            <w:pPr>
              <w:pStyle w:val="182"/>
            </w:pPr>
            <w:r>
              <w:rPr>
                <w:rFonts w:hAnsi="宋体" w:cs="Segoe UI"/>
                <w:color w:val="000000"/>
                <w:szCs w:val="18"/>
                <w:lang w:bidi="ar"/>
              </w:rPr>
              <w:t>电表</w:t>
            </w:r>
          </w:p>
        </w:tc>
        <w:tc>
          <w:tcPr>
            <w:tcW w:w="834" w:type="pct"/>
            <w:vAlign w:val="center"/>
          </w:tcPr>
          <w:p w14:paraId="240732DE">
            <w:pPr>
              <w:pStyle w:val="182"/>
            </w:pPr>
            <w:r>
              <w:rPr>
                <w:rFonts w:hAnsi="宋体" w:cs="Segoe UI"/>
                <w:color w:val="000000"/>
                <w:szCs w:val="18"/>
                <w:lang w:bidi="ar"/>
              </w:rPr>
              <w:t>—</w:t>
            </w:r>
          </w:p>
        </w:tc>
        <w:tc>
          <w:tcPr>
            <w:tcW w:w="834" w:type="pct"/>
            <w:vAlign w:val="center"/>
          </w:tcPr>
          <w:p w14:paraId="433729EB">
            <w:pPr>
              <w:pStyle w:val="182"/>
            </w:pPr>
            <w:r>
              <w:rPr>
                <w:rFonts w:hAnsi="宋体" w:cs="Segoe UI"/>
                <w:color w:val="000000"/>
                <w:szCs w:val="18"/>
                <w:lang w:bidi="ar"/>
              </w:rPr>
              <w:t>-20℃以下×1.5</w:t>
            </w:r>
          </w:p>
        </w:tc>
      </w:tr>
      <w:tr w14:paraId="5B5F9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2CAFCA1">
            <w:pPr>
              <w:pStyle w:val="182"/>
            </w:pPr>
            <w:r>
              <w:rPr>
                <w:rFonts w:hAnsi="宋体" w:cs="Segoe UI"/>
                <w:color w:val="000000"/>
                <w:szCs w:val="18"/>
                <w:lang w:bidi="ar"/>
              </w:rPr>
              <w:t>柴油补偿系数</w:t>
            </w:r>
          </w:p>
        </w:tc>
        <w:tc>
          <w:tcPr>
            <w:tcW w:w="834" w:type="pct"/>
            <w:vAlign w:val="center"/>
          </w:tcPr>
          <w:p w14:paraId="304A7B50">
            <w:pPr>
              <w:pStyle w:val="182"/>
            </w:pPr>
            <w:r>
              <w:rPr>
                <w:rFonts w:hAnsi="宋体" w:cs="Segoe UI"/>
                <w:color w:val="000000"/>
                <w:szCs w:val="18"/>
                <w:lang w:bidi="ar"/>
              </w:rPr>
              <w:t>—</w:t>
            </w:r>
          </w:p>
        </w:tc>
        <w:tc>
          <w:tcPr>
            <w:tcW w:w="833" w:type="pct"/>
            <w:vAlign w:val="center"/>
          </w:tcPr>
          <w:p w14:paraId="34698933">
            <w:pPr>
              <w:pStyle w:val="182"/>
            </w:pPr>
          </w:p>
        </w:tc>
        <w:tc>
          <w:tcPr>
            <w:tcW w:w="833" w:type="pct"/>
            <w:vAlign w:val="center"/>
          </w:tcPr>
          <w:p w14:paraId="4FC13AE6">
            <w:pPr>
              <w:pStyle w:val="182"/>
            </w:pPr>
            <w:r>
              <w:rPr>
                <w:rFonts w:hAnsi="宋体" w:cs="Segoe UI"/>
                <w:color w:val="000000"/>
                <w:szCs w:val="18"/>
                <w:lang w:bidi="ar"/>
              </w:rPr>
              <w:t>环境温度记录</w:t>
            </w:r>
          </w:p>
        </w:tc>
        <w:tc>
          <w:tcPr>
            <w:tcW w:w="834" w:type="pct"/>
            <w:vAlign w:val="center"/>
          </w:tcPr>
          <w:p w14:paraId="42FD6D6F">
            <w:pPr>
              <w:pStyle w:val="182"/>
            </w:pPr>
            <w:r>
              <w:rPr>
                <w:rFonts w:hAnsi="宋体" w:cs="Segoe UI"/>
                <w:color w:val="000000"/>
                <w:szCs w:val="18"/>
                <w:lang w:bidi="ar"/>
              </w:rPr>
              <w:t>默认1.0</w:t>
            </w:r>
          </w:p>
        </w:tc>
        <w:tc>
          <w:tcPr>
            <w:tcW w:w="834" w:type="pct"/>
            <w:vAlign w:val="center"/>
          </w:tcPr>
          <w:p w14:paraId="0F5C1A09">
            <w:pPr>
              <w:pStyle w:val="182"/>
            </w:pPr>
            <w:r>
              <w:rPr>
                <w:rFonts w:hAnsi="宋体" w:cs="Segoe UI"/>
                <w:color w:val="000000"/>
                <w:szCs w:val="18"/>
                <w:lang w:bidi="ar"/>
              </w:rPr>
              <w:t>≤-20℃启用1.3</w:t>
            </w:r>
          </w:p>
        </w:tc>
      </w:tr>
      <w:tr w14:paraId="70A0B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7CF80FBD">
            <w:pPr>
              <w:pStyle w:val="182"/>
            </w:pPr>
            <w:r>
              <w:rPr>
                <w:rFonts w:hAnsi="宋体" w:cs="Segoe UI"/>
                <w:color w:val="000000"/>
                <w:szCs w:val="18"/>
                <w:lang w:bidi="ar"/>
              </w:rPr>
              <w:t>百公里实际油耗</w:t>
            </w:r>
          </w:p>
        </w:tc>
        <w:tc>
          <w:tcPr>
            <w:tcW w:w="834" w:type="pct"/>
            <w:vAlign w:val="center"/>
          </w:tcPr>
          <w:p w14:paraId="5380D299">
            <w:pPr>
              <w:pStyle w:val="182"/>
            </w:pPr>
            <w:r>
              <w:rPr>
                <w:rFonts w:hAnsi="宋体" w:cs="Segoe UI"/>
                <w:color w:val="000000"/>
                <w:szCs w:val="18"/>
                <w:lang w:bidi="ar"/>
              </w:rPr>
              <w:t>L/100km</w:t>
            </w:r>
          </w:p>
        </w:tc>
        <w:tc>
          <w:tcPr>
            <w:tcW w:w="833" w:type="pct"/>
            <w:vAlign w:val="center"/>
          </w:tcPr>
          <w:p w14:paraId="101C2B0D">
            <w:pPr>
              <w:pStyle w:val="182"/>
            </w:pPr>
          </w:p>
        </w:tc>
        <w:tc>
          <w:tcPr>
            <w:tcW w:w="833" w:type="pct"/>
            <w:vAlign w:val="center"/>
          </w:tcPr>
          <w:p w14:paraId="23AC41AE">
            <w:pPr>
              <w:pStyle w:val="182"/>
            </w:pPr>
            <w:r>
              <w:rPr>
                <w:rFonts w:hAnsi="宋体" w:cs="Segoe UI"/>
                <w:color w:val="000000"/>
                <w:szCs w:val="18"/>
                <w:lang w:bidi="ar"/>
              </w:rPr>
              <w:t>GPS油耗监测</w:t>
            </w:r>
          </w:p>
        </w:tc>
        <w:tc>
          <w:tcPr>
            <w:tcW w:w="834" w:type="pct"/>
            <w:vAlign w:val="center"/>
          </w:tcPr>
          <w:p w14:paraId="22606D48">
            <w:pPr>
              <w:pStyle w:val="182"/>
            </w:pPr>
            <w:r>
              <w:rPr>
                <w:rFonts w:hAnsi="宋体" w:cs="Segoe UI"/>
                <w:color w:val="000000"/>
                <w:szCs w:val="18"/>
                <w:lang w:bidi="ar"/>
              </w:rPr>
              <w:t>—</w:t>
            </w:r>
          </w:p>
        </w:tc>
        <w:tc>
          <w:tcPr>
            <w:tcW w:w="834" w:type="pct"/>
            <w:vAlign w:val="center"/>
          </w:tcPr>
          <w:p w14:paraId="684D180E">
            <w:pPr>
              <w:pStyle w:val="182"/>
            </w:pPr>
            <w:r>
              <w:rPr>
                <w:rFonts w:hAnsi="宋体" w:cs="Segoe UI"/>
                <w:color w:val="000000"/>
                <w:szCs w:val="18"/>
                <w:lang w:bidi="ar"/>
              </w:rPr>
              <w:t>冰雪路面×1.3</w:t>
            </w:r>
          </w:p>
        </w:tc>
      </w:tr>
      <w:tr w14:paraId="5CD5B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6028C7FD">
            <w:pPr>
              <w:pStyle w:val="182"/>
            </w:pPr>
            <w:r>
              <w:rPr>
                <w:rFonts w:hAnsi="宋体" w:cs="Segoe UI"/>
                <w:color w:val="000000"/>
                <w:szCs w:val="18"/>
                <w:lang w:bidi="ar"/>
              </w:rPr>
              <w:t>怠速工况占比</w:t>
            </w:r>
          </w:p>
        </w:tc>
        <w:tc>
          <w:tcPr>
            <w:tcW w:w="834" w:type="pct"/>
            <w:vAlign w:val="center"/>
          </w:tcPr>
          <w:p w14:paraId="178D309F">
            <w:pPr>
              <w:pStyle w:val="182"/>
            </w:pPr>
            <w:r>
              <w:rPr>
                <w:rFonts w:hAnsi="宋体" w:cs="Segoe UI"/>
                <w:color w:val="000000"/>
                <w:szCs w:val="18"/>
                <w:lang w:bidi="ar"/>
              </w:rPr>
              <w:t>%</w:t>
            </w:r>
          </w:p>
        </w:tc>
        <w:tc>
          <w:tcPr>
            <w:tcW w:w="833" w:type="pct"/>
            <w:vAlign w:val="center"/>
          </w:tcPr>
          <w:p w14:paraId="1E8EF2F8">
            <w:pPr>
              <w:pStyle w:val="182"/>
            </w:pPr>
          </w:p>
        </w:tc>
        <w:tc>
          <w:tcPr>
            <w:tcW w:w="833" w:type="pct"/>
            <w:vAlign w:val="center"/>
          </w:tcPr>
          <w:p w14:paraId="6D0BD833">
            <w:pPr>
              <w:pStyle w:val="182"/>
            </w:pPr>
            <w:r>
              <w:rPr>
                <w:rFonts w:hAnsi="宋体" w:cs="Segoe UI"/>
                <w:color w:val="000000"/>
                <w:szCs w:val="18"/>
                <w:lang w:bidi="ar"/>
              </w:rPr>
              <w:t>行车电脑</w:t>
            </w:r>
          </w:p>
        </w:tc>
        <w:tc>
          <w:tcPr>
            <w:tcW w:w="834" w:type="pct"/>
            <w:vAlign w:val="center"/>
          </w:tcPr>
          <w:p w14:paraId="7A7220FF">
            <w:pPr>
              <w:pStyle w:val="182"/>
            </w:pPr>
            <w:r>
              <w:rPr>
                <w:rFonts w:hAnsi="宋体" w:cs="Segoe UI"/>
                <w:color w:val="000000"/>
                <w:szCs w:val="18"/>
                <w:lang w:bidi="ar"/>
              </w:rPr>
              <w:t>(怠速时间/总时间)×100%</w:t>
            </w:r>
          </w:p>
        </w:tc>
        <w:tc>
          <w:tcPr>
            <w:tcW w:w="834" w:type="pct"/>
            <w:vAlign w:val="center"/>
          </w:tcPr>
          <w:p w14:paraId="0768DC3D">
            <w:pPr>
              <w:pStyle w:val="182"/>
            </w:pPr>
            <w:r>
              <w:rPr>
                <w:rFonts w:hAnsi="宋体" w:cs="Segoe UI"/>
                <w:color w:val="000000"/>
                <w:szCs w:val="18"/>
                <w:lang w:bidi="ar"/>
              </w:rPr>
              <w:t>—</w:t>
            </w:r>
          </w:p>
        </w:tc>
      </w:tr>
      <w:tr w14:paraId="6B2E9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0EFB9EAF">
            <w:pPr>
              <w:pStyle w:val="182"/>
            </w:pPr>
            <w:r>
              <w:rPr>
                <w:rFonts w:hAnsi="宋体" w:cs="Segoe UI"/>
                <w:color w:val="000000"/>
                <w:szCs w:val="18"/>
                <w:lang w:bidi="ar"/>
              </w:rPr>
              <w:t>胎纹深度衰减</w:t>
            </w:r>
          </w:p>
        </w:tc>
        <w:tc>
          <w:tcPr>
            <w:tcW w:w="834" w:type="pct"/>
            <w:vAlign w:val="center"/>
          </w:tcPr>
          <w:p w14:paraId="66035E4A">
            <w:pPr>
              <w:pStyle w:val="182"/>
            </w:pPr>
            <w:r>
              <w:rPr>
                <w:rFonts w:hAnsi="宋体" w:cs="Segoe UI"/>
                <w:color w:val="000000"/>
                <w:szCs w:val="18"/>
                <w:lang w:bidi="ar"/>
              </w:rPr>
              <w:t>mm/万公里</w:t>
            </w:r>
          </w:p>
        </w:tc>
        <w:tc>
          <w:tcPr>
            <w:tcW w:w="833" w:type="pct"/>
            <w:vAlign w:val="center"/>
          </w:tcPr>
          <w:p w14:paraId="2A4517FF">
            <w:pPr>
              <w:pStyle w:val="182"/>
            </w:pPr>
          </w:p>
        </w:tc>
        <w:tc>
          <w:tcPr>
            <w:tcW w:w="833" w:type="pct"/>
            <w:vAlign w:val="center"/>
          </w:tcPr>
          <w:p w14:paraId="37B666AE">
            <w:pPr>
              <w:pStyle w:val="182"/>
            </w:pPr>
            <w:r>
              <w:rPr>
                <w:rFonts w:hAnsi="宋体" w:cs="Segoe UI"/>
                <w:color w:val="000000"/>
                <w:szCs w:val="18"/>
                <w:lang w:bidi="ar"/>
              </w:rPr>
              <w:t>游标卡尺</w:t>
            </w:r>
          </w:p>
        </w:tc>
        <w:tc>
          <w:tcPr>
            <w:tcW w:w="834" w:type="pct"/>
            <w:vAlign w:val="center"/>
          </w:tcPr>
          <w:p w14:paraId="6B8E0144">
            <w:pPr>
              <w:pStyle w:val="182"/>
            </w:pPr>
            <w:r>
              <w:rPr>
                <w:rFonts w:hAnsi="宋体" w:cs="Segoe UI"/>
                <w:color w:val="000000"/>
                <w:szCs w:val="18"/>
                <w:lang w:bidi="ar"/>
              </w:rPr>
              <w:t>初始≥8.0mm</w:t>
            </w:r>
          </w:p>
        </w:tc>
        <w:tc>
          <w:tcPr>
            <w:tcW w:w="834" w:type="pct"/>
            <w:vAlign w:val="center"/>
          </w:tcPr>
          <w:p w14:paraId="41D388A9">
            <w:pPr>
              <w:pStyle w:val="182"/>
            </w:pPr>
            <w:r>
              <w:rPr>
                <w:rFonts w:hAnsi="宋体" w:cs="Segoe UI"/>
                <w:color w:val="000000"/>
                <w:szCs w:val="18"/>
                <w:lang w:bidi="ar"/>
              </w:rPr>
              <w:t>寒区×1.2</w:t>
            </w:r>
          </w:p>
        </w:tc>
      </w:tr>
      <w:tr w14:paraId="69C47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758D2B8D">
            <w:pPr>
              <w:pStyle w:val="182"/>
            </w:pPr>
            <w:r>
              <w:rPr>
                <w:rFonts w:hAnsi="宋体" w:cs="Segoe UI"/>
                <w:color w:val="000000"/>
                <w:szCs w:val="18"/>
                <w:lang w:bidi="ar"/>
              </w:rPr>
              <w:t>车辆清洗水耗</w:t>
            </w:r>
          </w:p>
        </w:tc>
        <w:tc>
          <w:tcPr>
            <w:tcW w:w="834" w:type="pct"/>
            <w:vAlign w:val="center"/>
          </w:tcPr>
          <w:p w14:paraId="43CCBCD4">
            <w:pPr>
              <w:pStyle w:val="182"/>
            </w:pPr>
            <w:r>
              <w:rPr>
                <w:rFonts w:hAnsi="宋体" w:cs="Segoe UI"/>
                <w:color w:val="000000"/>
                <w:szCs w:val="18"/>
                <w:lang w:bidi="ar"/>
              </w:rPr>
              <w:t>L/车次</w:t>
            </w:r>
          </w:p>
        </w:tc>
        <w:tc>
          <w:tcPr>
            <w:tcW w:w="833" w:type="pct"/>
            <w:vAlign w:val="center"/>
          </w:tcPr>
          <w:p w14:paraId="2074ED8E">
            <w:pPr>
              <w:pStyle w:val="182"/>
            </w:pPr>
          </w:p>
        </w:tc>
        <w:tc>
          <w:tcPr>
            <w:tcW w:w="833" w:type="pct"/>
            <w:vAlign w:val="center"/>
          </w:tcPr>
          <w:p w14:paraId="40CA2093">
            <w:pPr>
              <w:pStyle w:val="182"/>
            </w:pPr>
            <w:r>
              <w:rPr>
                <w:rFonts w:hAnsi="宋体" w:cs="Segoe UI"/>
                <w:color w:val="000000"/>
                <w:szCs w:val="18"/>
                <w:lang w:bidi="ar"/>
              </w:rPr>
              <w:t>流量计</w:t>
            </w:r>
          </w:p>
        </w:tc>
        <w:tc>
          <w:tcPr>
            <w:tcW w:w="834" w:type="pct"/>
            <w:vAlign w:val="center"/>
          </w:tcPr>
          <w:p w14:paraId="255085E4">
            <w:pPr>
              <w:pStyle w:val="182"/>
            </w:pPr>
            <w:r>
              <w:rPr>
                <w:rFonts w:hAnsi="宋体" w:cs="Segoe UI"/>
                <w:color w:val="000000"/>
                <w:szCs w:val="18"/>
                <w:lang w:bidi="ar"/>
              </w:rPr>
              <w:t>≤200L/车次</w:t>
            </w:r>
          </w:p>
        </w:tc>
        <w:tc>
          <w:tcPr>
            <w:tcW w:w="834" w:type="pct"/>
            <w:vAlign w:val="center"/>
          </w:tcPr>
          <w:p w14:paraId="1D2D312E">
            <w:pPr>
              <w:pStyle w:val="182"/>
            </w:pPr>
            <w:r>
              <w:rPr>
                <w:rFonts w:hAnsi="宋体" w:cs="Segoe UI"/>
                <w:color w:val="000000"/>
                <w:szCs w:val="18"/>
                <w:lang w:bidi="ar"/>
              </w:rPr>
              <w:t>—</w:t>
            </w:r>
          </w:p>
        </w:tc>
      </w:tr>
      <w:tr w14:paraId="2C8FC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304D9E62">
            <w:pPr>
              <w:pStyle w:val="182"/>
            </w:pPr>
            <w:r>
              <w:rPr>
                <w:rFonts w:hAnsi="宋体" w:cs="Segoe UI"/>
                <w:color w:val="000000"/>
                <w:szCs w:val="18"/>
                <w:lang w:bidi="ar"/>
              </w:rPr>
              <w:t>胎面Zn含量</w:t>
            </w:r>
          </w:p>
        </w:tc>
        <w:tc>
          <w:tcPr>
            <w:tcW w:w="834" w:type="pct"/>
            <w:vAlign w:val="center"/>
          </w:tcPr>
          <w:p w14:paraId="2CC1ED32">
            <w:pPr>
              <w:pStyle w:val="182"/>
            </w:pPr>
            <w:r>
              <w:rPr>
                <w:rFonts w:hAnsi="宋体" w:cs="Segoe UI"/>
                <w:color w:val="000000"/>
                <w:szCs w:val="18"/>
                <w:lang w:bidi="ar"/>
              </w:rPr>
              <w:t>%</w:t>
            </w:r>
          </w:p>
        </w:tc>
        <w:tc>
          <w:tcPr>
            <w:tcW w:w="833" w:type="pct"/>
            <w:vAlign w:val="center"/>
          </w:tcPr>
          <w:p w14:paraId="26B5579B">
            <w:pPr>
              <w:pStyle w:val="182"/>
            </w:pPr>
          </w:p>
        </w:tc>
        <w:tc>
          <w:tcPr>
            <w:tcW w:w="833" w:type="pct"/>
            <w:vAlign w:val="center"/>
          </w:tcPr>
          <w:p w14:paraId="15EE90E1">
            <w:pPr>
              <w:pStyle w:val="182"/>
            </w:pPr>
            <w:r>
              <w:rPr>
                <w:rFonts w:hAnsi="宋体" w:cs="Segoe UI"/>
                <w:color w:val="000000"/>
                <w:szCs w:val="18"/>
                <w:lang w:bidi="ar"/>
              </w:rPr>
              <w:t>XRF检测</w:t>
            </w:r>
          </w:p>
        </w:tc>
        <w:tc>
          <w:tcPr>
            <w:tcW w:w="834" w:type="pct"/>
            <w:vAlign w:val="center"/>
          </w:tcPr>
          <w:p w14:paraId="7C38CAB9">
            <w:pPr>
              <w:pStyle w:val="182"/>
            </w:pPr>
            <w:r>
              <w:rPr>
                <w:rFonts w:hAnsi="宋体" w:cs="Segoe UI"/>
                <w:color w:val="000000"/>
                <w:szCs w:val="18"/>
                <w:lang w:bidi="ar"/>
              </w:rPr>
              <w:t>—</w:t>
            </w:r>
          </w:p>
        </w:tc>
        <w:tc>
          <w:tcPr>
            <w:tcW w:w="834" w:type="pct"/>
            <w:vAlign w:val="center"/>
          </w:tcPr>
          <w:p w14:paraId="29C603E2">
            <w:pPr>
              <w:pStyle w:val="182"/>
            </w:pPr>
            <w:r>
              <w:rPr>
                <w:rFonts w:hAnsi="宋体" w:cs="Segoe UI"/>
                <w:color w:val="000000"/>
                <w:szCs w:val="18"/>
                <w:lang w:bidi="ar"/>
              </w:rPr>
              <w:t>—</w:t>
            </w:r>
          </w:p>
        </w:tc>
      </w:tr>
      <w:tr w14:paraId="02616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4" w:type="pct"/>
            <w:vAlign w:val="center"/>
          </w:tcPr>
          <w:p w14:paraId="22989585">
            <w:pPr>
              <w:pStyle w:val="182"/>
            </w:pPr>
            <w:r>
              <w:rPr>
                <w:rFonts w:hAnsi="宋体" w:cs="Segoe UI"/>
                <w:color w:val="000000"/>
                <w:szCs w:val="18"/>
                <w:lang w:bidi="ar"/>
              </w:rPr>
              <w:t>SCR尿素消耗量</w:t>
            </w:r>
          </w:p>
        </w:tc>
        <w:tc>
          <w:tcPr>
            <w:tcW w:w="834" w:type="pct"/>
            <w:vAlign w:val="center"/>
          </w:tcPr>
          <w:p w14:paraId="52ACD6DF">
            <w:pPr>
              <w:pStyle w:val="182"/>
            </w:pPr>
            <w:r>
              <w:rPr>
                <w:rFonts w:hAnsi="宋体" w:cs="Segoe UI"/>
                <w:color w:val="000000"/>
                <w:szCs w:val="18"/>
                <w:lang w:bidi="ar"/>
              </w:rPr>
              <w:t>L/百公里</w:t>
            </w:r>
          </w:p>
        </w:tc>
        <w:tc>
          <w:tcPr>
            <w:tcW w:w="833" w:type="pct"/>
            <w:vAlign w:val="center"/>
          </w:tcPr>
          <w:p w14:paraId="4BBC14C2">
            <w:pPr>
              <w:pStyle w:val="182"/>
            </w:pPr>
          </w:p>
        </w:tc>
        <w:tc>
          <w:tcPr>
            <w:tcW w:w="833" w:type="pct"/>
            <w:vAlign w:val="center"/>
          </w:tcPr>
          <w:p w14:paraId="097537F6">
            <w:pPr>
              <w:pStyle w:val="182"/>
            </w:pPr>
            <w:r>
              <w:rPr>
                <w:rFonts w:hAnsi="宋体" w:cs="Segoe UI"/>
                <w:color w:val="000000"/>
                <w:szCs w:val="18"/>
                <w:lang w:bidi="ar"/>
              </w:rPr>
              <w:t>尿素表</w:t>
            </w:r>
          </w:p>
        </w:tc>
        <w:tc>
          <w:tcPr>
            <w:tcW w:w="834" w:type="pct"/>
            <w:vAlign w:val="center"/>
          </w:tcPr>
          <w:p w14:paraId="70F097E7">
            <w:pPr>
              <w:pStyle w:val="182"/>
            </w:pPr>
            <w:r>
              <w:rPr>
                <w:rFonts w:hAnsi="宋体" w:cs="Segoe UI"/>
                <w:color w:val="000000"/>
                <w:szCs w:val="18"/>
                <w:lang w:bidi="ar"/>
              </w:rPr>
              <w:t>—</w:t>
            </w:r>
          </w:p>
        </w:tc>
        <w:tc>
          <w:tcPr>
            <w:tcW w:w="834" w:type="pct"/>
            <w:vAlign w:val="center"/>
          </w:tcPr>
          <w:p w14:paraId="59007A51">
            <w:pPr>
              <w:pStyle w:val="182"/>
            </w:pPr>
            <w:r>
              <w:rPr>
                <w:rFonts w:hAnsi="宋体" w:cs="Segoe UI"/>
                <w:color w:val="000000"/>
                <w:szCs w:val="18"/>
                <w:lang w:bidi="ar"/>
              </w:rPr>
              <w:t>-10℃以下×1.2</w:t>
            </w:r>
          </w:p>
        </w:tc>
      </w:tr>
    </w:tbl>
    <w:p w14:paraId="6E2A0755">
      <w:pPr>
        <w:pStyle w:val="60"/>
        <w:ind w:firstLine="420"/>
      </w:pPr>
    </w:p>
    <w:p w14:paraId="5D683E57">
      <w:pPr>
        <w:pStyle w:val="60"/>
        <w:ind w:firstLine="420"/>
      </w:pPr>
    </w:p>
    <w:p w14:paraId="032C871F">
      <w:pPr>
        <w:pStyle w:val="60"/>
        <w:ind w:firstLine="420"/>
        <w:sectPr>
          <w:pgSz w:w="11906" w:h="16838"/>
          <w:pgMar w:top="1928" w:right="1134" w:bottom="1134" w:left="1134" w:header="1418" w:footer="1134" w:gutter="284"/>
          <w:cols w:space="425" w:num="1"/>
          <w:formProt w:val="0"/>
          <w:docGrid w:linePitch="312" w:charSpace="0"/>
        </w:sectPr>
      </w:pPr>
    </w:p>
    <w:p w14:paraId="5E4858DF">
      <w:pPr>
        <w:pStyle w:val="202"/>
        <w:rPr>
          <w:rFonts w:hint="eastAsia"/>
          <w:vanish w:val="0"/>
        </w:rPr>
      </w:pPr>
    </w:p>
    <w:p w14:paraId="18864E17">
      <w:pPr>
        <w:pStyle w:val="203"/>
        <w:rPr>
          <w:vanish w:val="0"/>
        </w:rPr>
      </w:pPr>
    </w:p>
    <w:p w14:paraId="736E821F">
      <w:pPr>
        <w:pStyle w:val="80"/>
        <w:spacing w:after="120"/>
      </w:pPr>
      <w:r>
        <w:br w:type="textWrapping"/>
      </w:r>
      <w:r>
        <w:rPr>
          <w:rFonts w:hint="eastAsia"/>
        </w:rPr>
        <w:t>（资料性）</w:t>
      </w:r>
      <w:r>
        <w:br w:type="textWrapping"/>
      </w:r>
      <w:r>
        <w:rPr>
          <w:rFonts w:hint="eastAsia"/>
        </w:rPr>
        <w:t>产品碳水足迹报告模板</w:t>
      </w:r>
    </w:p>
    <w:p w14:paraId="7182E12F">
      <w:pPr>
        <w:pStyle w:val="60"/>
        <w:ind w:firstLine="420"/>
      </w:pPr>
      <w:r>
        <w:rPr>
          <w:rFonts w:hint="eastAsia"/>
        </w:rPr>
        <w:t>产品碳水足迹报告格式模版如下。</w:t>
      </w:r>
    </w:p>
    <w:p w14:paraId="4505C714">
      <w:pPr>
        <w:pStyle w:val="60"/>
        <w:ind w:firstLine="420"/>
      </w:pPr>
    </w:p>
    <w:p w14:paraId="09B31F9D">
      <w:pPr>
        <w:pStyle w:val="60"/>
        <w:ind w:firstLine="420"/>
      </w:pPr>
    </w:p>
    <w:p w14:paraId="37D0793E">
      <w:pPr>
        <w:pStyle w:val="60"/>
        <w:ind w:firstLine="420"/>
      </w:pPr>
    </w:p>
    <w:p w14:paraId="53C803A2">
      <w:pPr>
        <w:pStyle w:val="60"/>
        <w:ind w:firstLine="420"/>
      </w:pPr>
    </w:p>
    <w:p w14:paraId="3B403BF6">
      <w:pPr>
        <w:pStyle w:val="60"/>
        <w:ind w:firstLine="1320" w:firstLineChars="300"/>
        <w:rPr>
          <w:rFonts w:hint="eastAsia" w:ascii="黑体" w:hAnsi="黑体" w:eastAsia="黑体" w:cs="黑体"/>
          <w:sz w:val="44"/>
          <w:szCs w:val="40"/>
        </w:rPr>
      </w:pPr>
      <w:r>
        <w:rPr>
          <w:rFonts w:hint="eastAsia" w:ascii="黑体" w:hAnsi="黑体" w:eastAsia="黑体" w:cs="黑体"/>
          <w:sz w:val="44"/>
          <w:szCs w:val="40"/>
        </w:rPr>
        <w:t>液态乳产品碳水足迹报告（模板）</w:t>
      </w:r>
    </w:p>
    <w:p w14:paraId="2A492B9A">
      <w:pPr>
        <w:pStyle w:val="60"/>
        <w:ind w:firstLine="1155" w:firstLineChars="550"/>
      </w:pPr>
    </w:p>
    <w:p w14:paraId="541A879D">
      <w:pPr>
        <w:pStyle w:val="60"/>
        <w:ind w:firstLine="1155" w:firstLineChars="550"/>
      </w:pPr>
    </w:p>
    <w:p w14:paraId="18D1759E">
      <w:pPr>
        <w:pStyle w:val="60"/>
        <w:ind w:firstLine="1155" w:firstLineChars="550"/>
      </w:pPr>
    </w:p>
    <w:p w14:paraId="3699F13C">
      <w:pPr>
        <w:pStyle w:val="60"/>
        <w:ind w:firstLine="1155" w:firstLineChars="550"/>
      </w:pPr>
    </w:p>
    <w:p w14:paraId="4AC86589">
      <w:pPr>
        <w:pStyle w:val="60"/>
        <w:ind w:firstLine="1155" w:firstLineChars="550"/>
      </w:pPr>
    </w:p>
    <w:p w14:paraId="04EC1157">
      <w:pPr>
        <w:pStyle w:val="60"/>
        <w:ind w:firstLine="1155" w:firstLineChars="550"/>
      </w:pPr>
    </w:p>
    <w:p w14:paraId="6F61DE8A">
      <w:pPr>
        <w:pStyle w:val="60"/>
        <w:ind w:firstLine="1155" w:firstLineChars="550"/>
      </w:pPr>
    </w:p>
    <w:p w14:paraId="18A34D38">
      <w:pPr>
        <w:pStyle w:val="60"/>
        <w:ind w:firstLine="1155" w:firstLineChars="550"/>
      </w:pPr>
    </w:p>
    <w:p w14:paraId="4BD62533">
      <w:pPr>
        <w:pStyle w:val="60"/>
        <w:ind w:firstLine="1155" w:firstLineChars="550"/>
      </w:pPr>
    </w:p>
    <w:p w14:paraId="715DF6C8">
      <w:pPr>
        <w:pStyle w:val="60"/>
        <w:spacing w:line="360" w:lineRule="auto"/>
        <w:ind w:firstLine="1320" w:firstLineChars="550"/>
        <w:rPr>
          <w:sz w:val="22"/>
          <w:szCs w:val="21"/>
          <w:u w:val="single"/>
        </w:rPr>
      </w:pPr>
      <w:r>
        <w:rPr>
          <w:rFonts w:hint="eastAsia"/>
          <w:sz w:val="24"/>
          <w:szCs w:val="22"/>
        </w:rPr>
        <w:t xml:space="preserve">产 品 名 称： </w:t>
      </w:r>
      <w:r>
        <w:rPr>
          <w:rFonts w:hint="eastAsia"/>
          <w:sz w:val="22"/>
          <w:szCs w:val="21"/>
          <w:u w:val="single"/>
        </w:rPr>
        <w:t xml:space="preserve">                                    </w:t>
      </w:r>
    </w:p>
    <w:p w14:paraId="3CD14E04">
      <w:pPr>
        <w:pStyle w:val="60"/>
        <w:spacing w:line="360" w:lineRule="auto"/>
        <w:ind w:firstLine="1320" w:firstLineChars="550"/>
        <w:rPr>
          <w:sz w:val="22"/>
          <w:szCs w:val="21"/>
          <w:u w:val="single"/>
        </w:rPr>
      </w:pPr>
      <w:r>
        <w:rPr>
          <w:rFonts w:hint="eastAsia"/>
          <w:sz w:val="24"/>
          <w:szCs w:val="22"/>
        </w:rPr>
        <w:t>产品规格型号：</w:t>
      </w:r>
      <w:r>
        <w:rPr>
          <w:rFonts w:hint="eastAsia"/>
          <w:sz w:val="22"/>
          <w:szCs w:val="21"/>
          <w:u w:val="single"/>
        </w:rPr>
        <w:t xml:space="preserve">                                    </w:t>
      </w:r>
    </w:p>
    <w:p w14:paraId="44AAD6EE">
      <w:pPr>
        <w:pStyle w:val="60"/>
        <w:spacing w:line="360" w:lineRule="auto"/>
        <w:ind w:firstLine="1320" w:firstLineChars="550"/>
        <w:rPr>
          <w:sz w:val="22"/>
          <w:szCs w:val="21"/>
          <w:u w:val="single"/>
        </w:rPr>
      </w:pPr>
      <w:r>
        <w:rPr>
          <w:rFonts w:hint="eastAsia"/>
          <w:sz w:val="24"/>
          <w:szCs w:val="22"/>
        </w:rPr>
        <w:t xml:space="preserve">产 品 公 司：  </w:t>
      </w:r>
      <w:r>
        <w:rPr>
          <w:rFonts w:hint="eastAsia"/>
          <w:sz w:val="22"/>
          <w:szCs w:val="21"/>
          <w:u w:val="single"/>
        </w:rPr>
        <w:t xml:space="preserve">                                    </w:t>
      </w:r>
    </w:p>
    <w:p w14:paraId="69043C61">
      <w:pPr>
        <w:pStyle w:val="60"/>
        <w:spacing w:line="360" w:lineRule="auto"/>
        <w:ind w:firstLine="1320" w:firstLineChars="550"/>
      </w:pPr>
      <w:r>
        <w:rPr>
          <w:rFonts w:hint="eastAsia"/>
          <w:sz w:val="24"/>
          <w:szCs w:val="22"/>
        </w:rPr>
        <w:t xml:space="preserve">报 告 编 号：    </w:t>
      </w:r>
      <w:r>
        <w:rPr>
          <w:rFonts w:hint="eastAsia"/>
          <w:sz w:val="22"/>
          <w:szCs w:val="21"/>
          <w:u w:val="single"/>
        </w:rPr>
        <w:t xml:space="preserve">                                    </w:t>
      </w:r>
    </w:p>
    <w:p w14:paraId="628D3FDC">
      <w:pPr>
        <w:pStyle w:val="178"/>
        <w:numPr>
          <w:ilvl w:val="0"/>
          <w:numId w:val="0"/>
        </w:numPr>
        <w:ind w:left="851" w:hanging="426"/>
      </w:pPr>
    </w:p>
    <w:p w14:paraId="5FD7C6F8">
      <w:pPr>
        <w:pStyle w:val="178"/>
        <w:numPr>
          <w:ilvl w:val="0"/>
          <w:numId w:val="0"/>
        </w:numPr>
        <w:ind w:left="851" w:hanging="426"/>
      </w:pPr>
    </w:p>
    <w:p w14:paraId="73F8EF15">
      <w:pPr>
        <w:pStyle w:val="178"/>
        <w:numPr>
          <w:ilvl w:val="0"/>
          <w:numId w:val="0"/>
        </w:numPr>
        <w:ind w:left="851" w:hanging="426"/>
      </w:pPr>
    </w:p>
    <w:p w14:paraId="2FF8F469">
      <w:pPr>
        <w:pStyle w:val="178"/>
        <w:numPr>
          <w:ilvl w:val="0"/>
          <w:numId w:val="0"/>
        </w:numPr>
        <w:ind w:left="851" w:hanging="426"/>
      </w:pPr>
    </w:p>
    <w:p w14:paraId="7CC53CAD">
      <w:pPr>
        <w:pStyle w:val="178"/>
        <w:numPr>
          <w:ilvl w:val="0"/>
          <w:numId w:val="0"/>
        </w:numPr>
        <w:ind w:left="851" w:hanging="426"/>
      </w:pPr>
    </w:p>
    <w:p w14:paraId="35B5C590">
      <w:pPr>
        <w:pStyle w:val="178"/>
        <w:numPr>
          <w:ilvl w:val="0"/>
          <w:numId w:val="0"/>
        </w:numPr>
        <w:ind w:left="851" w:hanging="426"/>
      </w:pPr>
    </w:p>
    <w:p w14:paraId="196903F3">
      <w:pPr>
        <w:pStyle w:val="178"/>
        <w:numPr>
          <w:ilvl w:val="0"/>
          <w:numId w:val="0"/>
        </w:numPr>
        <w:ind w:left="851" w:hanging="426"/>
      </w:pPr>
    </w:p>
    <w:p w14:paraId="6CC9448F">
      <w:pPr>
        <w:pStyle w:val="178"/>
        <w:numPr>
          <w:ilvl w:val="0"/>
          <w:numId w:val="0"/>
        </w:numPr>
        <w:ind w:left="851" w:hanging="426"/>
      </w:pPr>
    </w:p>
    <w:p w14:paraId="00582680">
      <w:pPr>
        <w:pStyle w:val="178"/>
        <w:numPr>
          <w:ilvl w:val="0"/>
          <w:numId w:val="0"/>
        </w:numPr>
        <w:ind w:left="851" w:hanging="426"/>
      </w:pPr>
    </w:p>
    <w:p w14:paraId="50C9BC6A">
      <w:pPr>
        <w:pStyle w:val="178"/>
        <w:numPr>
          <w:ilvl w:val="0"/>
          <w:numId w:val="0"/>
        </w:numPr>
        <w:ind w:left="851" w:hanging="426"/>
      </w:pPr>
    </w:p>
    <w:p w14:paraId="664E0606">
      <w:pPr>
        <w:pStyle w:val="178"/>
        <w:numPr>
          <w:ilvl w:val="0"/>
          <w:numId w:val="0"/>
        </w:numPr>
        <w:ind w:left="851" w:hanging="426"/>
      </w:pPr>
    </w:p>
    <w:p w14:paraId="5A4A0266">
      <w:pPr>
        <w:pStyle w:val="178"/>
        <w:numPr>
          <w:ilvl w:val="0"/>
          <w:numId w:val="0"/>
        </w:numPr>
        <w:ind w:left="851" w:hanging="426"/>
      </w:pPr>
    </w:p>
    <w:p w14:paraId="644AE44F">
      <w:pPr>
        <w:pStyle w:val="178"/>
        <w:numPr>
          <w:ilvl w:val="0"/>
          <w:numId w:val="0"/>
        </w:numPr>
        <w:spacing w:line="360" w:lineRule="auto"/>
        <w:ind w:left="105" w:leftChars="50" w:firstLine="4400" w:firstLineChars="2000"/>
        <w:rPr>
          <w:sz w:val="22"/>
          <w:szCs w:val="21"/>
        </w:rPr>
      </w:pPr>
      <w:r>
        <w:rPr>
          <w:rFonts w:hint="eastAsia"/>
          <w:sz w:val="22"/>
          <w:szCs w:val="21"/>
        </w:rPr>
        <w:t xml:space="preserve">出具报告机构（若有）：  </w:t>
      </w:r>
      <w:r>
        <w:rPr>
          <w:rFonts w:hint="eastAsia"/>
          <w:sz w:val="22"/>
          <w:szCs w:val="21"/>
          <w:u w:val="single"/>
        </w:rPr>
        <w:t xml:space="preserve">            </w:t>
      </w:r>
      <w:r>
        <w:rPr>
          <w:rFonts w:hint="eastAsia"/>
          <w:sz w:val="22"/>
          <w:szCs w:val="21"/>
        </w:rPr>
        <w:t xml:space="preserve"> （盖章）</w:t>
      </w:r>
    </w:p>
    <w:p w14:paraId="2825A210">
      <w:pPr>
        <w:pStyle w:val="178"/>
        <w:numPr>
          <w:ilvl w:val="0"/>
          <w:numId w:val="0"/>
        </w:numPr>
        <w:spacing w:line="360" w:lineRule="auto"/>
        <w:ind w:left="105" w:leftChars="50" w:firstLine="6380" w:firstLineChars="2900"/>
        <w:rPr>
          <w:sz w:val="22"/>
          <w:szCs w:val="21"/>
        </w:rPr>
      </w:pPr>
      <w:r>
        <w:rPr>
          <w:rFonts w:hint="eastAsia"/>
          <w:sz w:val="22"/>
          <w:szCs w:val="21"/>
        </w:rPr>
        <w:t>日期：</w:t>
      </w:r>
      <w:r>
        <w:rPr>
          <w:rFonts w:hint="eastAsia"/>
          <w:sz w:val="22"/>
          <w:szCs w:val="21"/>
          <w:u w:val="single"/>
        </w:rPr>
        <w:t xml:space="preserve">     </w:t>
      </w:r>
      <w:r>
        <w:rPr>
          <w:rFonts w:hint="eastAsia"/>
          <w:sz w:val="22"/>
          <w:szCs w:val="21"/>
        </w:rPr>
        <w:t>年</w:t>
      </w:r>
      <w:r>
        <w:rPr>
          <w:rFonts w:hint="eastAsia"/>
          <w:sz w:val="22"/>
          <w:szCs w:val="21"/>
          <w:u w:val="single"/>
        </w:rPr>
        <w:t xml:space="preserve">     </w:t>
      </w:r>
      <w:r>
        <w:rPr>
          <w:rFonts w:hint="eastAsia"/>
          <w:sz w:val="22"/>
          <w:szCs w:val="21"/>
        </w:rPr>
        <w:t>月</w:t>
      </w:r>
      <w:r>
        <w:rPr>
          <w:rFonts w:hint="eastAsia"/>
          <w:sz w:val="22"/>
          <w:szCs w:val="21"/>
          <w:u w:val="single"/>
        </w:rPr>
        <w:t xml:space="preserve">     </w:t>
      </w:r>
      <w:r>
        <w:rPr>
          <w:rFonts w:hint="eastAsia"/>
          <w:sz w:val="22"/>
          <w:szCs w:val="21"/>
        </w:rPr>
        <w:t>日</w:t>
      </w:r>
    </w:p>
    <w:p w14:paraId="46C700DA">
      <w:pPr>
        <w:pStyle w:val="178"/>
        <w:numPr>
          <w:ilvl w:val="0"/>
          <w:numId w:val="0"/>
        </w:numPr>
        <w:spacing w:line="360" w:lineRule="auto"/>
        <w:ind w:left="850" w:hanging="425"/>
        <w:rPr>
          <w:rFonts w:hint="eastAsia" w:ascii="黑体" w:hAnsi="黑体" w:eastAsia="黑体"/>
          <w:bCs/>
          <w:sz w:val="22"/>
          <w:szCs w:val="21"/>
        </w:rPr>
      </w:pPr>
    </w:p>
    <w:p w14:paraId="5B787825">
      <w:pPr>
        <w:pStyle w:val="178"/>
        <w:numPr>
          <w:ilvl w:val="0"/>
          <w:numId w:val="0"/>
        </w:numPr>
        <w:spacing w:line="360" w:lineRule="auto"/>
        <w:ind w:left="850" w:hanging="425"/>
        <w:rPr>
          <w:rFonts w:hint="eastAsia" w:ascii="黑体" w:hAnsi="黑体" w:eastAsia="黑体"/>
          <w:bCs/>
          <w:sz w:val="22"/>
          <w:szCs w:val="21"/>
        </w:rPr>
      </w:pPr>
    </w:p>
    <w:p w14:paraId="37A61230">
      <w:pPr>
        <w:pStyle w:val="178"/>
        <w:numPr>
          <w:ilvl w:val="0"/>
          <w:numId w:val="0"/>
        </w:numPr>
        <w:spacing w:line="360" w:lineRule="auto"/>
        <w:ind w:left="850" w:hanging="425"/>
        <w:rPr>
          <w:rFonts w:hint="eastAsia" w:ascii="黑体" w:hAnsi="黑体" w:eastAsia="黑体"/>
          <w:bCs/>
          <w:sz w:val="22"/>
          <w:szCs w:val="21"/>
        </w:rPr>
      </w:pPr>
    </w:p>
    <w:p w14:paraId="791480BE">
      <w:pPr>
        <w:pStyle w:val="178"/>
        <w:numPr>
          <w:ilvl w:val="0"/>
          <w:numId w:val="0"/>
        </w:numPr>
        <w:spacing w:line="360" w:lineRule="auto"/>
        <w:ind w:left="850" w:hanging="425"/>
        <w:rPr>
          <w:rFonts w:hint="eastAsia" w:ascii="黑体" w:hAnsi="黑体" w:eastAsia="黑体"/>
          <w:bCs/>
          <w:sz w:val="22"/>
          <w:szCs w:val="21"/>
        </w:rPr>
      </w:pPr>
    </w:p>
    <w:p w14:paraId="229BF9E7">
      <w:pPr>
        <w:pStyle w:val="178"/>
        <w:numPr>
          <w:ilvl w:val="0"/>
          <w:numId w:val="0"/>
        </w:numPr>
        <w:spacing w:line="360" w:lineRule="auto"/>
        <w:ind w:left="850" w:hanging="425"/>
        <w:rPr>
          <w:rFonts w:hint="eastAsia" w:ascii="黑体" w:hAnsi="黑体" w:eastAsia="黑体"/>
          <w:bCs/>
          <w:sz w:val="22"/>
          <w:szCs w:val="21"/>
        </w:rPr>
      </w:pPr>
    </w:p>
    <w:p w14:paraId="54CED694">
      <w:pPr>
        <w:pStyle w:val="178"/>
        <w:numPr>
          <w:ilvl w:val="0"/>
          <w:numId w:val="0"/>
        </w:numPr>
        <w:spacing w:line="360" w:lineRule="auto"/>
        <w:ind w:left="850" w:hanging="425"/>
        <w:rPr>
          <w:rFonts w:hint="eastAsia" w:ascii="黑体" w:hAnsi="黑体" w:eastAsia="黑体"/>
          <w:bCs/>
          <w:sz w:val="22"/>
          <w:szCs w:val="21"/>
        </w:rPr>
      </w:pPr>
      <w:r>
        <w:rPr>
          <w:rFonts w:hint="eastAsia" w:ascii="黑体" w:hAnsi="黑体" w:eastAsia="黑体"/>
          <w:bCs/>
          <w:sz w:val="22"/>
          <w:szCs w:val="21"/>
        </w:rPr>
        <w:t>一、概况</w:t>
      </w:r>
    </w:p>
    <w:p w14:paraId="1E0AC66E">
      <w:pPr>
        <w:pStyle w:val="178"/>
        <w:numPr>
          <w:ilvl w:val="0"/>
          <w:numId w:val="0"/>
        </w:numPr>
        <w:spacing w:line="360" w:lineRule="auto"/>
        <w:ind w:left="991" w:leftChars="270" w:hanging="424" w:hangingChars="193"/>
        <w:rPr>
          <w:rFonts w:hint="eastAsia" w:ascii="黑体" w:hAnsi="黑体" w:eastAsia="黑体"/>
          <w:sz w:val="22"/>
          <w:szCs w:val="21"/>
        </w:rPr>
      </w:pPr>
      <w:r>
        <w:rPr>
          <w:rFonts w:hint="eastAsia" w:ascii="黑体" w:hAnsi="黑体" w:eastAsia="黑体"/>
          <w:sz w:val="22"/>
          <w:szCs w:val="21"/>
        </w:rPr>
        <w:t>1、生产者信息</w:t>
      </w:r>
    </w:p>
    <w:p w14:paraId="1E6B3B8F">
      <w:pPr>
        <w:pStyle w:val="178"/>
        <w:numPr>
          <w:ilvl w:val="0"/>
          <w:numId w:val="0"/>
        </w:numPr>
        <w:spacing w:line="360" w:lineRule="auto"/>
        <w:ind w:left="105" w:leftChars="50" w:firstLine="770" w:firstLineChars="350"/>
        <w:rPr>
          <w:sz w:val="22"/>
          <w:szCs w:val="21"/>
          <w:u w:val="single"/>
        </w:rPr>
      </w:pPr>
      <w:r>
        <w:rPr>
          <w:rFonts w:hint="eastAsia"/>
          <w:sz w:val="22"/>
          <w:szCs w:val="21"/>
        </w:rPr>
        <w:t>生产者名称：</w:t>
      </w:r>
      <w:r>
        <w:rPr>
          <w:rFonts w:hint="eastAsia"/>
          <w:sz w:val="22"/>
          <w:szCs w:val="21"/>
          <w:u w:val="single"/>
        </w:rPr>
        <w:t xml:space="preserve">                                    </w:t>
      </w:r>
    </w:p>
    <w:p w14:paraId="12D8AF60">
      <w:pPr>
        <w:pStyle w:val="178"/>
        <w:numPr>
          <w:ilvl w:val="0"/>
          <w:numId w:val="0"/>
        </w:numPr>
        <w:spacing w:line="360" w:lineRule="auto"/>
        <w:ind w:left="105" w:leftChars="50" w:firstLine="770" w:firstLineChars="350"/>
        <w:rPr>
          <w:sz w:val="22"/>
          <w:szCs w:val="21"/>
          <w:u w:val="single"/>
        </w:rPr>
      </w:pPr>
      <w:r>
        <w:rPr>
          <w:rFonts w:hint="eastAsia"/>
          <w:sz w:val="22"/>
          <w:szCs w:val="21"/>
        </w:rPr>
        <w:t xml:space="preserve">地址：      </w:t>
      </w:r>
      <w:r>
        <w:rPr>
          <w:rFonts w:hint="eastAsia"/>
          <w:sz w:val="22"/>
          <w:szCs w:val="21"/>
          <w:u w:val="single"/>
        </w:rPr>
        <w:t xml:space="preserve">                                    </w:t>
      </w:r>
    </w:p>
    <w:p w14:paraId="1DCCA1DC">
      <w:pPr>
        <w:pStyle w:val="178"/>
        <w:numPr>
          <w:ilvl w:val="0"/>
          <w:numId w:val="0"/>
        </w:numPr>
        <w:spacing w:line="360" w:lineRule="auto"/>
        <w:ind w:left="105" w:leftChars="50" w:firstLine="770" w:firstLineChars="350"/>
        <w:rPr>
          <w:sz w:val="22"/>
          <w:szCs w:val="21"/>
          <w:u w:val="single"/>
        </w:rPr>
      </w:pPr>
      <w:r>
        <w:rPr>
          <w:rFonts w:hint="eastAsia"/>
          <w:sz w:val="22"/>
          <w:szCs w:val="21"/>
        </w:rPr>
        <w:t>法定代表人：</w:t>
      </w:r>
      <w:r>
        <w:rPr>
          <w:rFonts w:hint="eastAsia"/>
          <w:sz w:val="22"/>
          <w:szCs w:val="21"/>
          <w:u w:val="single"/>
        </w:rPr>
        <w:t xml:space="preserve">                                    </w:t>
      </w:r>
    </w:p>
    <w:p w14:paraId="4E6A404D">
      <w:pPr>
        <w:pStyle w:val="178"/>
        <w:numPr>
          <w:ilvl w:val="0"/>
          <w:numId w:val="0"/>
        </w:numPr>
        <w:spacing w:line="360" w:lineRule="auto"/>
        <w:ind w:left="105" w:leftChars="50" w:firstLine="770" w:firstLineChars="350"/>
        <w:rPr>
          <w:sz w:val="22"/>
          <w:szCs w:val="21"/>
          <w:u w:val="single"/>
        </w:rPr>
      </w:pPr>
      <w:r>
        <w:rPr>
          <w:rFonts w:hint="eastAsia"/>
          <w:sz w:val="22"/>
          <w:szCs w:val="21"/>
        </w:rPr>
        <w:t>授权人（联系人）：</w:t>
      </w:r>
      <w:r>
        <w:rPr>
          <w:rFonts w:hint="eastAsia"/>
          <w:sz w:val="22"/>
          <w:szCs w:val="21"/>
          <w:u w:val="single"/>
        </w:rPr>
        <w:t xml:space="preserve">                                    </w:t>
      </w:r>
    </w:p>
    <w:p w14:paraId="5D319978">
      <w:pPr>
        <w:pStyle w:val="178"/>
        <w:numPr>
          <w:ilvl w:val="0"/>
          <w:numId w:val="0"/>
        </w:numPr>
        <w:spacing w:line="360" w:lineRule="auto"/>
        <w:ind w:left="105" w:leftChars="50" w:firstLine="770" w:firstLineChars="350"/>
        <w:rPr>
          <w:sz w:val="22"/>
          <w:szCs w:val="21"/>
          <w:u w:val="single"/>
        </w:rPr>
      </w:pPr>
      <w:r>
        <w:rPr>
          <w:rFonts w:hint="eastAsia"/>
          <w:sz w:val="22"/>
          <w:szCs w:val="21"/>
        </w:rPr>
        <w:t>联系电话：</w:t>
      </w:r>
      <w:r>
        <w:rPr>
          <w:rFonts w:hint="eastAsia"/>
          <w:sz w:val="22"/>
          <w:szCs w:val="21"/>
          <w:u w:val="single"/>
        </w:rPr>
        <w:t xml:space="preserve">                                    </w:t>
      </w:r>
    </w:p>
    <w:p w14:paraId="52D98615">
      <w:pPr>
        <w:pStyle w:val="178"/>
        <w:numPr>
          <w:ilvl w:val="0"/>
          <w:numId w:val="0"/>
        </w:numPr>
        <w:spacing w:line="360" w:lineRule="auto"/>
        <w:ind w:left="105" w:leftChars="50" w:firstLine="770" w:firstLineChars="350"/>
        <w:rPr>
          <w:sz w:val="22"/>
          <w:szCs w:val="21"/>
          <w:u w:val="single"/>
        </w:rPr>
      </w:pPr>
      <w:r>
        <w:rPr>
          <w:rFonts w:hint="eastAsia"/>
          <w:sz w:val="22"/>
          <w:szCs w:val="21"/>
        </w:rPr>
        <w:t>企业概况：</w:t>
      </w:r>
      <w:r>
        <w:rPr>
          <w:rFonts w:hint="eastAsia"/>
          <w:sz w:val="22"/>
          <w:szCs w:val="21"/>
          <w:u w:val="single"/>
        </w:rPr>
        <w:t xml:space="preserve">                                    </w:t>
      </w:r>
    </w:p>
    <w:p w14:paraId="7DF9A645">
      <w:pPr>
        <w:pStyle w:val="178"/>
        <w:numPr>
          <w:ilvl w:val="0"/>
          <w:numId w:val="0"/>
        </w:numPr>
        <w:spacing w:line="360" w:lineRule="auto"/>
        <w:ind w:left="105" w:leftChars="50" w:firstLine="440" w:firstLineChars="200"/>
        <w:rPr>
          <w:rFonts w:hint="eastAsia" w:ascii="黑体" w:hAnsi="黑体" w:eastAsia="黑体"/>
          <w:sz w:val="22"/>
          <w:szCs w:val="21"/>
        </w:rPr>
      </w:pPr>
      <w:r>
        <w:rPr>
          <w:rFonts w:hint="eastAsia" w:ascii="黑体" w:hAnsi="黑体" w:eastAsia="黑体"/>
          <w:sz w:val="22"/>
          <w:szCs w:val="21"/>
        </w:rPr>
        <w:t>2、产品信息</w:t>
      </w:r>
    </w:p>
    <w:p w14:paraId="6D6CB2AE">
      <w:pPr>
        <w:pStyle w:val="178"/>
        <w:numPr>
          <w:ilvl w:val="0"/>
          <w:numId w:val="0"/>
        </w:numPr>
        <w:spacing w:line="360" w:lineRule="auto"/>
        <w:ind w:left="105" w:leftChars="50" w:firstLine="770" w:firstLineChars="350"/>
        <w:rPr>
          <w:sz w:val="22"/>
          <w:szCs w:val="21"/>
          <w:u w:val="single"/>
        </w:rPr>
      </w:pPr>
      <w:r>
        <w:rPr>
          <w:rFonts w:hint="eastAsia"/>
          <w:sz w:val="22"/>
          <w:szCs w:val="21"/>
        </w:rPr>
        <w:t>产品名称：</w:t>
      </w:r>
      <w:r>
        <w:rPr>
          <w:rFonts w:hint="eastAsia"/>
          <w:sz w:val="22"/>
          <w:szCs w:val="21"/>
          <w:u w:val="single"/>
        </w:rPr>
        <w:t xml:space="preserve">                                    </w:t>
      </w:r>
    </w:p>
    <w:p w14:paraId="7E0FA2BC">
      <w:pPr>
        <w:pStyle w:val="178"/>
        <w:numPr>
          <w:ilvl w:val="0"/>
          <w:numId w:val="0"/>
        </w:numPr>
        <w:spacing w:line="360" w:lineRule="auto"/>
        <w:ind w:left="105" w:leftChars="50" w:firstLine="770" w:firstLineChars="350"/>
        <w:rPr>
          <w:sz w:val="22"/>
          <w:szCs w:val="21"/>
          <w:u w:val="single"/>
        </w:rPr>
      </w:pPr>
      <w:r>
        <w:rPr>
          <w:rFonts w:hint="eastAsia"/>
          <w:sz w:val="22"/>
          <w:szCs w:val="21"/>
        </w:rPr>
        <w:t>产品介绍：</w:t>
      </w:r>
      <w:r>
        <w:rPr>
          <w:rFonts w:hint="eastAsia"/>
          <w:sz w:val="22"/>
          <w:szCs w:val="21"/>
          <w:u w:val="single"/>
        </w:rPr>
        <w:t xml:space="preserve">                                    </w:t>
      </w:r>
    </w:p>
    <w:p w14:paraId="38E30B4C">
      <w:pPr>
        <w:pStyle w:val="178"/>
        <w:numPr>
          <w:ilvl w:val="0"/>
          <w:numId w:val="0"/>
        </w:numPr>
        <w:spacing w:line="360" w:lineRule="auto"/>
        <w:ind w:left="850" w:hanging="425"/>
        <w:rPr>
          <w:rFonts w:hint="eastAsia" w:ascii="黑体" w:hAnsi="黑体" w:eastAsia="黑体"/>
          <w:bCs/>
          <w:sz w:val="22"/>
          <w:szCs w:val="21"/>
        </w:rPr>
      </w:pPr>
      <w:r>
        <w:rPr>
          <w:rFonts w:hint="eastAsia" w:ascii="黑体" w:hAnsi="黑体" w:eastAsia="黑体"/>
          <w:bCs/>
          <w:sz w:val="22"/>
          <w:szCs w:val="21"/>
        </w:rPr>
        <w:t>二、边界与范围</w:t>
      </w:r>
    </w:p>
    <w:p w14:paraId="793525F7">
      <w:pPr>
        <w:pStyle w:val="178"/>
        <w:numPr>
          <w:ilvl w:val="0"/>
          <w:numId w:val="0"/>
        </w:numPr>
        <w:spacing w:line="360" w:lineRule="auto"/>
        <w:ind w:left="105" w:leftChars="50" w:firstLine="550" w:firstLineChars="250"/>
        <w:rPr>
          <w:rFonts w:hint="eastAsia" w:ascii="黑体" w:hAnsi="黑体" w:eastAsia="黑体"/>
          <w:sz w:val="22"/>
          <w:szCs w:val="21"/>
        </w:rPr>
      </w:pPr>
      <w:r>
        <w:rPr>
          <w:rFonts w:hint="eastAsia" w:ascii="黑体" w:hAnsi="黑体" w:eastAsia="黑体"/>
          <w:sz w:val="22"/>
          <w:szCs w:val="21"/>
        </w:rPr>
        <w:t>1、声明单位</w:t>
      </w:r>
    </w:p>
    <w:p w14:paraId="06FE8040">
      <w:pPr>
        <w:pStyle w:val="178"/>
        <w:numPr>
          <w:ilvl w:val="0"/>
          <w:numId w:val="0"/>
        </w:numPr>
        <w:spacing w:line="360" w:lineRule="auto"/>
        <w:ind w:left="105" w:leftChars="50" w:firstLine="880" w:firstLineChars="400"/>
        <w:rPr>
          <w:sz w:val="22"/>
          <w:szCs w:val="21"/>
        </w:rPr>
      </w:pPr>
      <w:r>
        <w:rPr>
          <w:rFonts w:hint="eastAsia"/>
          <w:sz w:val="22"/>
          <w:szCs w:val="21"/>
        </w:rPr>
        <w:t>以</w:t>
      </w:r>
      <w:r>
        <w:rPr>
          <w:rFonts w:hint="eastAsia"/>
          <w:sz w:val="22"/>
          <w:szCs w:val="21"/>
          <w:u w:val="single"/>
        </w:rPr>
        <w:t xml:space="preserve">                    </w:t>
      </w:r>
      <w:r>
        <w:rPr>
          <w:rFonts w:hint="eastAsia"/>
          <w:sz w:val="22"/>
          <w:szCs w:val="21"/>
        </w:rPr>
        <w:t>为</w:t>
      </w:r>
      <w:r>
        <w:rPr>
          <w:sz w:val="22"/>
          <w:szCs w:val="21"/>
        </w:rPr>
        <w:t>声明单位</w:t>
      </w:r>
      <w:r>
        <w:rPr>
          <w:rFonts w:hint="eastAsia"/>
          <w:sz w:val="22"/>
          <w:szCs w:val="21"/>
        </w:rPr>
        <w:t>。</w:t>
      </w:r>
    </w:p>
    <w:p w14:paraId="6C8AD31E">
      <w:pPr>
        <w:pStyle w:val="178"/>
        <w:numPr>
          <w:ilvl w:val="0"/>
          <w:numId w:val="0"/>
        </w:numPr>
        <w:spacing w:line="360" w:lineRule="auto"/>
        <w:ind w:left="105" w:leftChars="50" w:firstLine="550" w:firstLineChars="250"/>
        <w:rPr>
          <w:rFonts w:hint="eastAsia" w:ascii="黑体" w:hAnsi="黑体" w:eastAsia="黑体"/>
          <w:sz w:val="22"/>
          <w:szCs w:val="21"/>
        </w:rPr>
      </w:pPr>
      <w:r>
        <w:rPr>
          <w:rFonts w:hint="eastAsia" w:ascii="黑体" w:hAnsi="黑体" w:eastAsia="黑体"/>
          <w:sz w:val="22"/>
          <w:szCs w:val="21"/>
        </w:rPr>
        <w:t>2、系统边界</w:t>
      </w:r>
    </w:p>
    <w:p w14:paraId="24D204C2">
      <w:pPr>
        <w:pStyle w:val="178"/>
        <w:numPr>
          <w:ilvl w:val="0"/>
          <w:numId w:val="0"/>
        </w:numPr>
        <w:spacing w:line="360" w:lineRule="auto"/>
        <w:ind w:left="105" w:leftChars="50" w:firstLine="880" w:firstLineChars="400"/>
        <w:rPr>
          <w:sz w:val="22"/>
          <w:szCs w:val="21"/>
        </w:rPr>
      </w:pPr>
      <w:r>
        <w:rPr>
          <w:rFonts w:hint="eastAsia"/>
          <w:sz w:val="22"/>
          <w:szCs w:val="21"/>
        </w:rPr>
        <w:t>□ 原材料获取阶段 □ 生产加工阶段□ 包装储运阶段</w:t>
      </w:r>
    </w:p>
    <w:p w14:paraId="280D5ED2">
      <w:pPr>
        <w:pStyle w:val="178"/>
        <w:numPr>
          <w:ilvl w:val="0"/>
          <w:numId w:val="0"/>
        </w:numPr>
        <w:spacing w:line="360" w:lineRule="auto"/>
        <w:ind w:left="105" w:leftChars="50" w:firstLine="880" w:firstLineChars="400"/>
        <w:rPr>
          <w:sz w:val="22"/>
          <w:szCs w:val="21"/>
        </w:rPr>
      </w:pPr>
      <w:r>
        <w:rPr>
          <w:rFonts w:hint="eastAsia"/>
          <w:sz w:val="22"/>
          <w:szCs w:val="21"/>
        </w:rPr>
        <w:t>系统</w:t>
      </w:r>
      <w:r>
        <w:rPr>
          <w:sz w:val="22"/>
          <w:szCs w:val="21"/>
        </w:rPr>
        <w:t>边界图：</w:t>
      </w:r>
    </w:p>
    <w:p w14:paraId="23FB57B0">
      <w:pPr>
        <w:pStyle w:val="178"/>
        <w:numPr>
          <w:ilvl w:val="0"/>
          <w:numId w:val="0"/>
        </w:numPr>
        <w:spacing w:line="360" w:lineRule="auto"/>
        <w:ind w:left="105" w:leftChars="50" w:firstLine="880" w:firstLineChars="400"/>
        <w:rPr>
          <w:sz w:val="22"/>
          <w:szCs w:val="21"/>
        </w:rPr>
      </w:pPr>
    </w:p>
    <w:p w14:paraId="7C5FB3A8">
      <w:pPr>
        <w:pStyle w:val="178"/>
        <w:numPr>
          <w:ilvl w:val="0"/>
          <w:numId w:val="0"/>
        </w:numPr>
        <w:spacing w:line="360" w:lineRule="auto"/>
        <w:ind w:left="105" w:leftChars="50" w:firstLine="880" w:firstLineChars="400"/>
        <w:rPr>
          <w:sz w:val="22"/>
          <w:szCs w:val="21"/>
        </w:rPr>
      </w:pPr>
    </w:p>
    <w:p w14:paraId="7E7C2120">
      <w:pPr>
        <w:pStyle w:val="178"/>
        <w:numPr>
          <w:ilvl w:val="0"/>
          <w:numId w:val="0"/>
        </w:numPr>
        <w:spacing w:line="360" w:lineRule="auto"/>
        <w:ind w:left="105" w:leftChars="50" w:firstLine="880" w:firstLineChars="400"/>
        <w:rPr>
          <w:sz w:val="22"/>
          <w:szCs w:val="21"/>
        </w:rPr>
      </w:pPr>
    </w:p>
    <w:p w14:paraId="7B0FB472">
      <w:pPr>
        <w:pStyle w:val="178"/>
        <w:numPr>
          <w:ilvl w:val="0"/>
          <w:numId w:val="0"/>
        </w:numPr>
        <w:spacing w:line="360" w:lineRule="auto"/>
        <w:ind w:left="105" w:leftChars="50" w:firstLine="880" w:firstLineChars="400"/>
        <w:rPr>
          <w:sz w:val="22"/>
          <w:szCs w:val="21"/>
        </w:rPr>
      </w:pPr>
    </w:p>
    <w:p w14:paraId="248A61F1">
      <w:pPr>
        <w:pStyle w:val="178"/>
        <w:numPr>
          <w:ilvl w:val="0"/>
          <w:numId w:val="0"/>
        </w:numPr>
        <w:spacing w:line="360" w:lineRule="auto"/>
        <w:ind w:left="105" w:leftChars="50" w:firstLine="880" w:firstLineChars="400"/>
        <w:rPr>
          <w:sz w:val="22"/>
          <w:szCs w:val="21"/>
        </w:rPr>
      </w:pPr>
    </w:p>
    <w:p w14:paraId="6BDC1D03">
      <w:pPr>
        <w:pStyle w:val="87"/>
        <w:spacing w:before="120" w:after="120"/>
      </w:pPr>
      <w:r>
        <w:rPr>
          <w:rFonts w:hint="eastAsia"/>
        </w:rPr>
        <w:t>XX产品</w:t>
      </w:r>
      <w:r>
        <w:t>碳足迹</w:t>
      </w:r>
      <w:r>
        <w:rPr>
          <w:rFonts w:hint="eastAsia"/>
        </w:rPr>
        <w:t>量化</w:t>
      </w:r>
      <w:r>
        <w:t>系统</w:t>
      </w:r>
      <w:r>
        <w:rPr>
          <w:rFonts w:hint="eastAsia"/>
        </w:rPr>
        <w:t>边界</w:t>
      </w:r>
      <w:r>
        <w:t>图</w:t>
      </w:r>
    </w:p>
    <w:p w14:paraId="7651DA59">
      <w:pPr>
        <w:pStyle w:val="60"/>
        <w:spacing w:line="360" w:lineRule="auto"/>
        <w:ind w:firstLine="770" w:firstLineChars="350"/>
        <w:rPr>
          <w:rFonts w:hint="eastAsia" w:ascii="黑体" w:hAnsi="黑体" w:eastAsia="黑体"/>
          <w:sz w:val="22"/>
          <w:szCs w:val="21"/>
        </w:rPr>
      </w:pPr>
      <w:r>
        <w:rPr>
          <w:rFonts w:hint="eastAsia" w:ascii="黑体" w:hAnsi="黑体" w:eastAsia="黑体"/>
          <w:sz w:val="22"/>
          <w:szCs w:val="21"/>
        </w:rPr>
        <w:t>3、取舍准则</w:t>
      </w:r>
    </w:p>
    <w:p w14:paraId="3D3275A7">
      <w:pPr>
        <w:pStyle w:val="60"/>
        <w:spacing w:line="360" w:lineRule="auto"/>
        <w:ind w:firstLine="1320" w:firstLineChars="600"/>
        <w:rPr>
          <w:sz w:val="22"/>
          <w:szCs w:val="21"/>
        </w:rPr>
      </w:pPr>
      <w:r>
        <w:rPr>
          <w:rFonts w:hint="eastAsia"/>
          <w:sz w:val="22"/>
          <w:szCs w:val="21"/>
        </w:rPr>
        <w:t>采用</w:t>
      </w:r>
      <w:r>
        <w:rPr>
          <w:sz w:val="22"/>
          <w:szCs w:val="21"/>
        </w:rPr>
        <w:t>的取舍准则以</w:t>
      </w:r>
      <w:r>
        <w:rPr>
          <w:rFonts w:hint="eastAsia"/>
          <w:sz w:val="22"/>
          <w:szCs w:val="21"/>
          <w:u w:val="single"/>
        </w:rPr>
        <w:t xml:space="preserve">                    </w:t>
      </w:r>
      <w:r>
        <w:rPr>
          <w:rFonts w:hint="eastAsia"/>
          <w:sz w:val="22"/>
          <w:szCs w:val="21"/>
        </w:rPr>
        <w:t>为</w:t>
      </w:r>
      <w:r>
        <w:rPr>
          <w:sz w:val="22"/>
          <w:szCs w:val="21"/>
        </w:rPr>
        <w:t>依据，</w:t>
      </w:r>
      <w:r>
        <w:rPr>
          <w:rFonts w:hint="eastAsia"/>
          <w:sz w:val="22"/>
          <w:szCs w:val="21"/>
        </w:rPr>
        <w:t>具体</w:t>
      </w:r>
      <w:r>
        <w:rPr>
          <w:sz w:val="22"/>
          <w:szCs w:val="21"/>
        </w:rPr>
        <w:t>规则如下：</w:t>
      </w:r>
    </w:p>
    <w:p w14:paraId="53D8621B">
      <w:pPr>
        <w:pStyle w:val="60"/>
        <w:spacing w:line="360" w:lineRule="auto"/>
        <w:ind w:firstLine="209" w:firstLineChars="95"/>
        <w:rPr>
          <w:rFonts w:hint="eastAsia" w:ascii="黑体" w:hAnsi="黑体" w:eastAsia="黑体"/>
          <w:sz w:val="22"/>
          <w:szCs w:val="21"/>
        </w:rPr>
      </w:pPr>
      <w:r>
        <w:rPr>
          <w:rFonts w:hint="eastAsia"/>
          <w:sz w:val="22"/>
          <w:szCs w:val="21"/>
        </w:rPr>
        <w:t xml:space="preserve">     </w:t>
      </w:r>
      <w:r>
        <w:rPr>
          <w:rFonts w:hint="eastAsia" w:ascii="黑体" w:hAnsi="黑体" w:eastAsia="黑体"/>
          <w:sz w:val="22"/>
          <w:szCs w:val="21"/>
        </w:rPr>
        <w:t>4、时间范围</w:t>
      </w:r>
    </w:p>
    <w:p w14:paraId="2F3888DD">
      <w:pPr>
        <w:pStyle w:val="60"/>
        <w:spacing w:line="360" w:lineRule="auto"/>
        <w:ind w:firstLine="209" w:firstLineChars="95"/>
        <w:rPr>
          <w:sz w:val="22"/>
          <w:szCs w:val="21"/>
        </w:rPr>
      </w:pPr>
      <w:r>
        <w:rPr>
          <w:rFonts w:hint="eastAsia" w:ascii="黑体" w:hAnsi="黑体" w:eastAsia="黑体"/>
          <w:sz w:val="22"/>
          <w:szCs w:val="21"/>
        </w:rPr>
        <w:t xml:space="preserve"> </w:t>
      </w:r>
      <w:r>
        <w:rPr>
          <w:rFonts w:ascii="黑体" w:hAnsi="黑体" w:eastAsia="黑体"/>
          <w:sz w:val="22"/>
          <w:szCs w:val="21"/>
        </w:rPr>
        <w:t xml:space="preserve">         </w:t>
      </w:r>
      <w:r>
        <w:rPr>
          <w:rFonts w:hint="eastAsia"/>
          <w:sz w:val="22"/>
          <w:szCs w:val="21"/>
          <w:u w:val="single"/>
        </w:rPr>
        <w:t xml:space="preserve">                    </w:t>
      </w:r>
      <w:r>
        <w:rPr>
          <w:rFonts w:hint="eastAsia"/>
          <w:sz w:val="22"/>
          <w:szCs w:val="21"/>
        </w:rPr>
        <w:t>年度。</w:t>
      </w:r>
    </w:p>
    <w:p w14:paraId="26E76512">
      <w:pPr>
        <w:pStyle w:val="60"/>
        <w:spacing w:line="360" w:lineRule="auto"/>
        <w:ind w:firstLine="199" w:firstLineChars="95"/>
        <w:rPr>
          <w:rFonts w:hint="eastAsia" w:ascii="黑体" w:hAnsi="黑体" w:eastAsia="黑体"/>
          <w:bCs/>
          <w:sz w:val="22"/>
          <w:szCs w:val="21"/>
        </w:rPr>
      </w:pPr>
      <w:r>
        <w:rPr>
          <w:rFonts w:hint="eastAsia"/>
        </w:rPr>
        <w:t xml:space="preserve">  </w:t>
      </w:r>
      <w:r>
        <w:rPr>
          <w:rFonts w:hint="eastAsia" w:ascii="黑体" w:hAnsi="黑体" w:eastAsia="黑体"/>
          <w:bCs/>
          <w:sz w:val="22"/>
          <w:szCs w:val="21"/>
        </w:rPr>
        <w:t>三、清单分析</w:t>
      </w:r>
    </w:p>
    <w:p w14:paraId="161D34C4">
      <w:pPr>
        <w:pStyle w:val="60"/>
        <w:spacing w:line="360" w:lineRule="auto"/>
        <w:ind w:firstLine="209" w:firstLineChars="95"/>
        <w:rPr>
          <w:rFonts w:hint="eastAsia" w:ascii="黑体" w:hAnsi="黑体" w:eastAsia="黑体"/>
          <w:sz w:val="22"/>
          <w:szCs w:val="21"/>
        </w:rPr>
      </w:pPr>
      <w:r>
        <w:rPr>
          <w:rFonts w:hint="eastAsia" w:ascii="黑体" w:hAnsi="黑体" w:eastAsia="黑体"/>
          <w:bCs/>
          <w:sz w:val="22"/>
          <w:szCs w:val="21"/>
        </w:rPr>
        <w:t xml:space="preserve">   </w:t>
      </w:r>
      <w:r>
        <w:rPr>
          <w:rFonts w:hint="eastAsia" w:ascii="黑体" w:hAnsi="黑体" w:eastAsia="黑体"/>
          <w:sz w:val="22"/>
          <w:szCs w:val="21"/>
        </w:rPr>
        <w:t>1、数据来源说明</w:t>
      </w:r>
    </w:p>
    <w:p w14:paraId="797DF2C8">
      <w:pPr>
        <w:pStyle w:val="60"/>
        <w:spacing w:line="360" w:lineRule="auto"/>
        <w:ind w:firstLine="199" w:firstLineChars="95"/>
        <w:rPr>
          <w:sz w:val="22"/>
          <w:szCs w:val="21"/>
        </w:rPr>
      </w:pPr>
      <w:r>
        <w:rPr>
          <w:rFonts w:hint="eastAsia"/>
        </w:rPr>
        <w:t xml:space="preserve">    </w:t>
      </w:r>
      <w:r>
        <w:t xml:space="preserve">  </w:t>
      </w:r>
      <w:r>
        <w:rPr>
          <w:rFonts w:hint="eastAsia"/>
          <w:sz w:val="22"/>
          <w:szCs w:val="21"/>
        </w:rPr>
        <w:t>初级数据：</w:t>
      </w:r>
      <w:r>
        <w:rPr>
          <w:rFonts w:hint="eastAsia"/>
          <w:sz w:val="22"/>
          <w:szCs w:val="21"/>
          <w:u w:val="single"/>
        </w:rPr>
        <w:t xml:space="preserve">                    </w:t>
      </w:r>
      <w:r>
        <w:rPr>
          <w:rFonts w:hint="eastAsia"/>
          <w:sz w:val="22"/>
          <w:szCs w:val="21"/>
        </w:rPr>
        <w:t>；</w:t>
      </w:r>
    </w:p>
    <w:p w14:paraId="6FD7C99B">
      <w:pPr>
        <w:pStyle w:val="60"/>
        <w:spacing w:line="360" w:lineRule="auto"/>
        <w:ind w:firstLine="209" w:firstLineChars="95"/>
        <w:rPr>
          <w:sz w:val="22"/>
          <w:szCs w:val="21"/>
        </w:rPr>
      </w:pPr>
      <w:r>
        <w:rPr>
          <w:sz w:val="22"/>
          <w:szCs w:val="21"/>
        </w:rPr>
        <w:t xml:space="preserve">      </w:t>
      </w:r>
      <w:r>
        <w:rPr>
          <w:rFonts w:hint="eastAsia"/>
          <w:sz w:val="22"/>
          <w:szCs w:val="21"/>
        </w:rPr>
        <w:t>次级数据：</w:t>
      </w:r>
      <w:r>
        <w:rPr>
          <w:rFonts w:hint="eastAsia"/>
          <w:sz w:val="22"/>
          <w:szCs w:val="21"/>
          <w:u w:val="single"/>
        </w:rPr>
        <w:t xml:space="preserve">                    </w:t>
      </w:r>
      <w:r>
        <w:rPr>
          <w:rFonts w:hint="eastAsia"/>
          <w:sz w:val="22"/>
          <w:szCs w:val="21"/>
        </w:rPr>
        <w:t>；</w:t>
      </w:r>
    </w:p>
    <w:p w14:paraId="445E2F54">
      <w:pPr>
        <w:pStyle w:val="60"/>
        <w:spacing w:line="360" w:lineRule="auto"/>
        <w:ind w:firstLine="539" w:firstLineChars="245"/>
        <w:rPr>
          <w:rFonts w:hint="eastAsia" w:ascii="黑体" w:hAnsi="黑体" w:eastAsia="黑体"/>
          <w:sz w:val="22"/>
          <w:szCs w:val="21"/>
        </w:rPr>
      </w:pPr>
      <w:r>
        <w:rPr>
          <w:rFonts w:hint="eastAsia" w:ascii="黑体" w:hAnsi="黑体" w:eastAsia="黑体"/>
          <w:sz w:val="22"/>
          <w:szCs w:val="21"/>
        </w:rPr>
        <w:t>2、取舍原则</w:t>
      </w:r>
    </w:p>
    <w:p w14:paraId="6C4A7245">
      <w:pPr>
        <w:pStyle w:val="60"/>
        <w:spacing w:line="360" w:lineRule="auto"/>
        <w:ind w:firstLine="539" w:firstLineChars="245"/>
        <w:rPr>
          <w:sz w:val="22"/>
          <w:szCs w:val="21"/>
        </w:rPr>
      </w:pPr>
      <w:r>
        <w:rPr>
          <w:rFonts w:hint="eastAsia" w:ascii="黑体" w:hAnsi="黑体" w:eastAsia="黑体"/>
          <w:sz w:val="22"/>
          <w:szCs w:val="21"/>
        </w:rPr>
        <w:t xml:space="preserve">   </w:t>
      </w:r>
      <w:r>
        <w:rPr>
          <w:rFonts w:hint="eastAsia"/>
          <w:sz w:val="22"/>
          <w:szCs w:val="21"/>
        </w:rPr>
        <w:t>纳入原则：</w:t>
      </w:r>
      <w:r>
        <w:rPr>
          <w:rFonts w:hint="eastAsia"/>
          <w:sz w:val="22"/>
          <w:szCs w:val="21"/>
          <w:u w:val="single"/>
        </w:rPr>
        <w:t xml:space="preserve">                    </w:t>
      </w:r>
      <w:r>
        <w:rPr>
          <w:rFonts w:hint="eastAsia"/>
          <w:sz w:val="22"/>
          <w:szCs w:val="21"/>
        </w:rPr>
        <w:t>；</w:t>
      </w:r>
    </w:p>
    <w:p w14:paraId="7F0EA937">
      <w:pPr>
        <w:pStyle w:val="60"/>
        <w:spacing w:line="360" w:lineRule="auto"/>
        <w:ind w:firstLine="514" w:firstLineChars="245"/>
        <w:rPr>
          <w:sz w:val="22"/>
          <w:szCs w:val="21"/>
        </w:rPr>
      </w:pPr>
      <w:r>
        <w:t xml:space="preserve">   </w:t>
      </w:r>
      <w:r>
        <w:rPr>
          <w:rFonts w:hint="eastAsia"/>
          <w:sz w:val="22"/>
          <w:szCs w:val="21"/>
        </w:rPr>
        <w:t>排除说明：</w:t>
      </w:r>
      <w:r>
        <w:rPr>
          <w:rFonts w:hint="eastAsia"/>
          <w:sz w:val="22"/>
          <w:szCs w:val="21"/>
          <w:u w:val="single"/>
        </w:rPr>
        <w:t xml:space="preserve">                    </w:t>
      </w:r>
      <w:r>
        <w:rPr>
          <w:rFonts w:hint="eastAsia"/>
          <w:sz w:val="22"/>
          <w:szCs w:val="21"/>
        </w:rPr>
        <w:t>；</w:t>
      </w:r>
    </w:p>
    <w:p w14:paraId="707E8F66">
      <w:pPr>
        <w:pStyle w:val="60"/>
        <w:spacing w:line="360" w:lineRule="auto"/>
        <w:ind w:firstLine="539" w:firstLineChars="245"/>
        <w:rPr>
          <w:sz w:val="22"/>
          <w:szCs w:val="21"/>
        </w:rPr>
      </w:pPr>
      <w:r>
        <w:rPr>
          <w:rFonts w:hint="eastAsia"/>
          <w:sz w:val="22"/>
          <w:szCs w:val="21"/>
        </w:rPr>
        <w:t xml:space="preserve">   </w:t>
      </w:r>
    </w:p>
    <w:p w14:paraId="425035F7">
      <w:pPr>
        <w:pStyle w:val="60"/>
        <w:numPr>
          <w:ilvl w:val="0"/>
          <w:numId w:val="44"/>
        </w:numPr>
        <w:spacing w:line="360" w:lineRule="auto"/>
        <w:ind w:firstLine="539" w:firstLineChars="245"/>
        <w:rPr>
          <w:rFonts w:hint="eastAsia" w:ascii="黑体" w:hAnsi="黑体" w:eastAsia="黑体"/>
          <w:sz w:val="22"/>
          <w:szCs w:val="21"/>
        </w:rPr>
      </w:pPr>
      <w:r>
        <w:rPr>
          <w:rFonts w:hint="eastAsia" w:ascii="黑体" w:hAnsi="黑体" w:eastAsia="黑体"/>
          <w:sz w:val="22"/>
          <w:szCs w:val="21"/>
        </w:rPr>
        <w:t>清单结果及计算</w:t>
      </w:r>
    </w:p>
    <w:p w14:paraId="1A330C97">
      <w:pPr>
        <w:pStyle w:val="81"/>
        <w:spacing w:before="120" w:after="120" w:line="360" w:lineRule="auto"/>
        <w:ind w:firstLine="440"/>
      </w:pPr>
      <w:r>
        <w:rPr>
          <w:rFonts w:hint="eastAsia"/>
          <w:sz w:val="22"/>
          <w:szCs w:val="21"/>
          <w:u w:val="single"/>
        </w:rPr>
        <w:t xml:space="preserve">             </w:t>
      </w:r>
      <w:r>
        <w:rPr>
          <w:rFonts w:hint="eastAsia"/>
        </w:rPr>
        <w:t>生命周期碳排放清单说明</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8"/>
        <w:gridCol w:w="1560"/>
        <w:gridCol w:w="1560"/>
        <w:gridCol w:w="1492"/>
        <w:gridCol w:w="1644"/>
        <w:gridCol w:w="1560"/>
      </w:tblGrid>
      <w:tr w14:paraId="1A0D7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3" w:type="pct"/>
            <w:gridSpan w:val="2"/>
            <w:tcBorders>
              <w:top w:val="single" w:color="auto" w:sz="8" w:space="0"/>
              <w:bottom w:val="single" w:color="auto" w:sz="8" w:space="0"/>
            </w:tcBorders>
            <w:vAlign w:val="center"/>
          </w:tcPr>
          <w:p w14:paraId="3376B7C0">
            <w:pPr>
              <w:pStyle w:val="182"/>
              <w:rPr>
                <w:rFonts w:hint="eastAsia" w:hAnsi="宋体"/>
                <w:szCs w:val="18"/>
              </w:rPr>
            </w:pPr>
            <w:r>
              <w:rPr>
                <w:rFonts w:hint="eastAsia" w:hAnsi="宋体"/>
                <w:szCs w:val="18"/>
              </w:rPr>
              <w:t>生命周期阶段</w:t>
            </w:r>
          </w:p>
        </w:tc>
        <w:tc>
          <w:tcPr>
            <w:tcW w:w="832" w:type="pct"/>
            <w:tcBorders>
              <w:top w:val="single" w:color="auto" w:sz="8" w:space="0"/>
              <w:bottom w:val="single" w:color="auto" w:sz="8" w:space="0"/>
            </w:tcBorders>
            <w:vAlign w:val="center"/>
          </w:tcPr>
          <w:p w14:paraId="6C7411BF">
            <w:pPr>
              <w:pStyle w:val="182"/>
            </w:pPr>
            <w:r>
              <w:rPr>
                <w:rFonts w:hint="eastAsia" w:hAnsi="宋体"/>
                <w:szCs w:val="18"/>
              </w:rPr>
              <w:t>活动数据</w:t>
            </w:r>
          </w:p>
        </w:tc>
        <w:tc>
          <w:tcPr>
            <w:tcW w:w="796" w:type="pct"/>
            <w:tcBorders>
              <w:top w:val="single" w:color="auto" w:sz="8" w:space="0"/>
              <w:bottom w:val="single" w:color="auto" w:sz="8" w:space="0"/>
            </w:tcBorders>
            <w:vAlign w:val="center"/>
          </w:tcPr>
          <w:p w14:paraId="3BD9B3CA">
            <w:pPr>
              <w:pStyle w:val="182"/>
            </w:pPr>
            <w:r>
              <w:rPr>
                <w:rFonts w:hint="eastAsia" w:hAnsi="宋体"/>
                <w:szCs w:val="18"/>
              </w:rPr>
              <w:t>温室气体排放因子</w:t>
            </w:r>
          </w:p>
        </w:tc>
        <w:tc>
          <w:tcPr>
            <w:tcW w:w="877" w:type="pct"/>
            <w:tcBorders>
              <w:top w:val="single" w:color="auto" w:sz="8" w:space="0"/>
              <w:bottom w:val="single" w:color="auto" w:sz="8" w:space="0"/>
            </w:tcBorders>
          </w:tcPr>
          <w:p w14:paraId="29D31956">
            <w:pPr>
              <w:pStyle w:val="182"/>
            </w:pPr>
            <w:r>
              <w:rPr>
                <w:rFonts w:hint="eastAsia" w:hAnsi="宋体"/>
                <w:szCs w:val="18"/>
              </w:rPr>
              <w:t>温室</w:t>
            </w:r>
            <w:r>
              <w:rPr>
                <w:rFonts w:hAnsi="宋体"/>
                <w:szCs w:val="18"/>
              </w:rPr>
              <w:t>气体量</w:t>
            </w:r>
            <w:r>
              <w:rPr>
                <w:rFonts w:hint="eastAsia" w:hAnsi="宋体"/>
                <w:szCs w:val="18"/>
              </w:rPr>
              <w:t>kg/</w:t>
            </w:r>
            <w:r>
              <w:rPr>
                <w:rFonts w:hAnsi="宋体"/>
                <w:szCs w:val="18"/>
              </w:rPr>
              <w:t>声明单位</w:t>
            </w:r>
          </w:p>
        </w:tc>
        <w:tc>
          <w:tcPr>
            <w:tcW w:w="832" w:type="pct"/>
            <w:tcBorders>
              <w:top w:val="single" w:color="auto" w:sz="8" w:space="0"/>
              <w:bottom w:val="single" w:color="auto" w:sz="8" w:space="0"/>
            </w:tcBorders>
          </w:tcPr>
          <w:p w14:paraId="227FC0A0">
            <w:pPr>
              <w:pStyle w:val="182"/>
            </w:pPr>
            <w:r>
              <w:rPr>
                <w:rFonts w:hint="eastAsia" w:hAnsi="宋体"/>
                <w:szCs w:val="18"/>
              </w:rPr>
              <w:t>水足迹 吨/声明单位</w:t>
            </w:r>
          </w:p>
        </w:tc>
      </w:tr>
      <w:tr w14:paraId="383A0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restart"/>
            <w:tcBorders>
              <w:top w:val="single" w:color="auto" w:sz="8" w:space="0"/>
            </w:tcBorders>
            <w:vAlign w:val="center"/>
          </w:tcPr>
          <w:p w14:paraId="12DE9FD7">
            <w:pPr>
              <w:pStyle w:val="182"/>
            </w:pPr>
            <w:r>
              <w:rPr>
                <w:rFonts w:hAnsi="宋体"/>
                <w:szCs w:val="18"/>
              </w:rPr>
              <w:t>原材料获取阶段</w:t>
            </w:r>
          </w:p>
        </w:tc>
        <w:tc>
          <w:tcPr>
            <w:tcW w:w="832" w:type="pct"/>
            <w:tcBorders>
              <w:top w:val="single" w:color="auto" w:sz="8" w:space="0"/>
            </w:tcBorders>
            <w:vAlign w:val="center"/>
          </w:tcPr>
          <w:p w14:paraId="01A6BEC5">
            <w:pPr>
              <w:pStyle w:val="182"/>
            </w:pPr>
          </w:p>
        </w:tc>
        <w:tc>
          <w:tcPr>
            <w:tcW w:w="796" w:type="pct"/>
            <w:tcBorders>
              <w:top w:val="single" w:color="auto" w:sz="8" w:space="0"/>
            </w:tcBorders>
            <w:vAlign w:val="center"/>
          </w:tcPr>
          <w:p w14:paraId="74F13FDD">
            <w:pPr>
              <w:pStyle w:val="182"/>
            </w:pPr>
          </w:p>
        </w:tc>
        <w:tc>
          <w:tcPr>
            <w:tcW w:w="877" w:type="pct"/>
            <w:tcBorders>
              <w:top w:val="single" w:color="auto" w:sz="8" w:space="0"/>
            </w:tcBorders>
            <w:vAlign w:val="center"/>
          </w:tcPr>
          <w:p w14:paraId="662BF93F">
            <w:pPr>
              <w:pStyle w:val="182"/>
            </w:pPr>
          </w:p>
        </w:tc>
        <w:tc>
          <w:tcPr>
            <w:tcW w:w="832" w:type="pct"/>
            <w:tcBorders>
              <w:top w:val="single" w:color="auto" w:sz="8" w:space="0"/>
            </w:tcBorders>
            <w:vAlign w:val="center"/>
          </w:tcPr>
          <w:p w14:paraId="4005C3EC">
            <w:pPr>
              <w:pStyle w:val="182"/>
            </w:pPr>
          </w:p>
        </w:tc>
      </w:tr>
      <w:tr w14:paraId="7306E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continue"/>
            <w:vAlign w:val="center"/>
          </w:tcPr>
          <w:p w14:paraId="261191CB">
            <w:pPr>
              <w:pStyle w:val="182"/>
            </w:pPr>
          </w:p>
        </w:tc>
        <w:tc>
          <w:tcPr>
            <w:tcW w:w="832" w:type="pct"/>
            <w:vAlign w:val="center"/>
          </w:tcPr>
          <w:p w14:paraId="0B12D597">
            <w:pPr>
              <w:pStyle w:val="182"/>
            </w:pPr>
          </w:p>
        </w:tc>
        <w:tc>
          <w:tcPr>
            <w:tcW w:w="796" w:type="pct"/>
            <w:vAlign w:val="center"/>
          </w:tcPr>
          <w:p w14:paraId="6C98C836">
            <w:pPr>
              <w:pStyle w:val="182"/>
            </w:pPr>
          </w:p>
        </w:tc>
        <w:tc>
          <w:tcPr>
            <w:tcW w:w="877" w:type="pct"/>
            <w:vAlign w:val="center"/>
          </w:tcPr>
          <w:p w14:paraId="3C45AEF6">
            <w:pPr>
              <w:pStyle w:val="182"/>
            </w:pPr>
          </w:p>
        </w:tc>
        <w:tc>
          <w:tcPr>
            <w:tcW w:w="832" w:type="pct"/>
            <w:vAlign w:val="center"/>
          </w:tcPr>
          <w:p w14:paraId="5855EA35">
            <w:pPr>
              <w:pStyle w:val="182"/>
            </w:pPr>
          </w:p>
        </w:tc>
      </w:tr>
      <w:tr w14:paraId="00DDD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continue"/>
            <w:vAlign w:val="center"/>
          </w:tcPr>
          <w:p w14:paraId="69F660DC">
            <w:pPr>
              <w:pStyle w:val="182"/>
            </w:pPr>
          </w:p>
        </w:tc>
        <w:tc>
          <w:tcPr>
            <w:tcW w:w="832" w:type="pct"/>
            <w:vAlign w:val="center"/>
          </w:tcPr>
          <w:p w14:paraId="2BEEBD9A">
            <w:pPr>
              <w:pStyle w:val="182"/>
            </w:pPr>
          </w:p>
        </w:tc>
        <w:tc>
          <w:tcPr>
            <w:tcW w:w="796" w:type="pct"/>
            <w:vAlign w:val="center"/>
          </w:tcPr>
          <w:p w14:paraId="00EC8315">
            <w:pPr>
              <w:pStyle w:val="182"/>
            </w:pPr>
          </w:p>
        </w:tc>
        <w:tc>
          <w:tcPr>
            <w:tcW w:w="877" w:type="pct"/>
            <w:vAlign w:val="center"/>
          </w:tcPr>
          <w:p w14:paraId="0C6D70B5">
            <w:pPr>
              <w:pStyle w:val="182"/>
            </w:pPr>
          </w:p>
        </w:tc>
        <w:tc>
          <w:tcPr>
            <w:tcW w:w="832" w:type="pct"/>
            <w:vAlign w:val="center"/>
          </w:tcPr>
          <w:p w14:paraId="5D898C72">
            <w:pPr>
              <w:pStyle w:val="182"/>
            </w:pPr>
          </w:p>
        </w:tc>
      </w:tr>
      <w:tr w14:paraId="00854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continue"/>
            <w:vAlign w:val="center"/>
          </w:tcPr>
          <w:p w14:paraId="5A4241EF">
            <w:pPr>
              <w:pStyle w:val="182"/>
            </w:pPr>
          </w:p>
        </w:tc>
        <w:tc>
          <w:tcPr>
            <w:tcW w:w="832" w:type="pct"/>
            <w:vAlign w:val="center"/>
          </w:tcPr>
          <w:p w14:paraId="3AE85AD9">
            <w:pPr>
              <w:pStyle w:val="182"/>
            </w:pPr>
          </w:p>
        </w:tc>
        <w:tc>
          <w:tcPr>
            <w:tcW w:w="796" w:type="pct"/>
            <w:vAlign w:val="center"/>
          </w:tcPr>
          <w:p w14:paraId="7EF200C8">
            <w:pPr>
              <w:pStyle w:val="182"/>
            </w:pPr>
          </w:p>
        </w:tc>
        <w:tc>
          <w:tcPr>
            <w:tcW w:w="877" w:type="pct"/>
            <w:vAlign w:val="center"/>
          </w:tcPr>
          <w:p w14:paraId="25150393">
            <w:pPr>
              <w:pStyle w:val="182"/>
            </w:pPr>
          </w:p>
        </w:tc>
        <w:tc>
          <w:tcPr>
            <w:tcW w:w="832" w:type="pct"/>
            <w:vAlign w:val="center"/>
          </w:tcPr>
          <w:p w14:paraId="3236EF40">
            <w:pPr>
              <w:pStyle w:val="182"/>
            </w:pPr>
          </w:p>
        </w:tc>
      </w:tr>
      <w:tr w14:paraId="3E19E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restart"/>
            <w:vAlign w:val="center"/>
          </w:tcPr>
          <w:p w14:paraId="138398AD">
            <w:pPr>
              <w:pStyle w:val="182"/>
            </w:pPr>
            <w:r>
              <w:rPr>
                <w:rFonts w:hAnsi="宋体"/>
                <w:szCs w:val="18"/>
              </w:rPr>
              <w:t>生产加工阶段</w:t>
            </w:r>
          </w:p>
        </w:tc>
        <w:tc>
          <w:tcPr>
            <w:tcW w:w="832" w:type="pct"/>
            <w:vAlign w:val="center"/>
          </w:tcPr>
          <w:p w14:paraId="3A84EC7B">
            <w:pPr>
              <w:pStyle w:val="182"/>
            </w:pPr>
          </w:p>
        </w:tc>
        <w:tc>
          <w:tcPr>
            <w:tcW w:w="796" w:type="pct"/>
            <w:vAlign w:val="center"/>
          </w:tcPr>
          <w:p w14:paraId="1871028A">
            <w:pPr>
              <w:pStyle w:val="182"/>
            </w:pPr>
          </w:p>
        </w:tc>
        <w:tc>
          <w:tcPr>
            <w:tcW w:w="877" w:type="pct"/>
            <w:vAlign w:val="center"/>
          </w:tcPr>
          <w:p w14:paraId="427B2DD1">
            <w:pPr>
              <w:pStyle w:val="182"/>
            </w:pPr>
          </w:p>
        </w:tc>
        <w:tc>
          <w:tcPr>
            <w:tcW w:w="832" w:type="pct"/>
            <w:vAlign w:val="center"/>
          </w:tcPr>
          <w:p w14:paraId="0A9981EC">
            <w:pPr>
              <w:pStyle w:val="182"/>
            </w:pPr>
          </w:p>
        </w:tc>
      </w:tr>
      <w:tr w14:paraId="789DD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continue"/>
            <w:vAlign w:val="center"/>
          </w:tcPr>
          <w:p w14:paraId="032AC6EC">
            <w:pPr>
              <w:pStyle w:val="182"/>
            </w:pPr>
          </w:p>
        </w:tc>
        <w:tc>
          <w:tcPr>
            <w:tcW w:w="832" w:type="pct"/>
            <w:vAlign w:val="center"/>
          </w:tcPr>
          <w:p w14:paraId="1B1E0BBA">
            <w:pPr>
              <w:pStyle w:val="182"/>
            </w:pPr>
          </w:p>
        </w:tc>
        <w:tc>
          <w:tcPr>
            <w:tcW w:w="796" w:type="pct"/>
            <w:vAlign w:val="center"/>
          </w:tcPr>
          <w:p w14:paraId="6AB496B1">
            <w:pPr>
              <w:pStyle w:val="182"/>
            </w:pPr>
          </w:p>
        </w:tc>
        <w:tc>
          <w:tcPr>
            <w:tcW w:w="877" w:type="pct"/>
            <w:vAlign w:val="center"/>
          </w:tcPr>
          <w:p w14:paraId="2D05F704">
            <w:pPr>
              <w:pStyle w:val="182"/>
            </w:pPr>
          </w:p>
        </w:tc>
        <w:tc>
          <w:tcPr>
            <w:tcW w:w="832" w:type="pct"/>
            <w:vAlign w:val="center"/>
          </w:tcPr>
          <w:p w14:paraId="58E231D0">
            <w:pPr>
              <w:pStyle w:val="182"/>
            </w:pPr>
          </w:p>
        </w:tc>
      </w:tr>
      <w:tr w14:paraId="6127D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continue"/>
            <w:vAlign w:val="center"/>
          </w:tcPr>
          <w:p w14:paraId="5B7AB59F">
            <w:pPr>
              <w:pStyle w:val="182"/>
            </w:pPr>
          </w:p>
        </w:tc>
        <w:tc>
          <w:tcPr>
            <w:tcW w:w="832" w:type="pct"/>
            <w:vAlign w:val="center"/>
          </w:tcPr>
          <w:p w14:paraId="0D967499">
            <w:pPr>
              <w:pStyle w:val="182"/>
            </w:pPr>
          </w:p>
        </w:tc>
        <w:tc>
          <w:tcPr>
            <w:tcW w:w="796" w:type="pct"/>
            <w:vAlign w:val="center"/>
          </w:tcPr>
          <w:p w14:paraId="6003D145">
            <w:pPr>
              <w:pStyle w:val="182"/>
            </w:pPr>
          </w:p>
        </w:tc>
        <w:tc>
          <w:tcPr>
            <w:tcW w:w="877" w:type="pct"/>
            <w:vAlign w:val="center"/>
          </w:tcPr>
          <w:p w14:paraId="0D802D0B">
            <w:pPr>
              <w:pStyle w:val="182"/>
            </w:pPr>
          </w:p>
        </w:tc>
        <w:tc>
          <w:tcPr>
            <w:tcW w:w="832" w:type="pct"/>
            <w:vAlign w:val="center"/>
          </w:tcPr>
          <w:p w14:paraId="094CC4D5">
            <w:pPr>
              <w:pStyle w:val="182"/>
            </w:pPr>
          </w:p>
        </w:tc>
      </w:tr>
      <w:tr w14:paraId="3BCEA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gridSpan w:val="2"/>
            <w:vMerge w:val="continue"/>
            <w:vAlign w:val="center"/>
          </w:tcPr>
          <w:p w14:paraId="517A5A17">
            <w:pPr>
              <w:pStyle w:val="182"/>
            </w:pPr>
          </w:p>
        </w:tc>
        <w:tc>
          <w:tcPr>
            <w:tcW w:w="832" w:type="pct"/>
            <w:vAlign w:val="center"/>
          </w:tcPr>
          <w:p w14:paraId="5DDF01A4">
            <w:pPr>
              <w:pStyle w:val="182"/>
            </w:pPr>
          </w:p>
        </w:tc>
        <w:tc>
          <w:tcPr>
            <w:tcW w:w="796" w:type="pct"/>
            <w:vAlign w:val="center"/>
          </w:tcPr>
          <w:p w14:paraId="4F4ECFE3">
            <w:pPr>
              <w:pStyle w:val="182"/>
            </w:pPr>
          </w:p>
        </w:tc>
        <w:tc>
          <w:tcPr>
            <w:tcW w:w="877" w:type="pct"/>
            <w:vAlign w:val="center"/>
          </w:tcPr>
          <w:p w14:paraId="1D8A131B">
            <w:pPr>
              <w:pStyle w:val="182"/>
            </w:pPr>
          </w:p>
        </w:tc>
        <w:tc>
          <w:tcPr>
            <w:tcW w:w="832" w:type="pct"/>
            <w:vAlign w:val="center"/>
          </w:tcPr>
          <w:p w14:paraId="550BABE7">
            <w:pPr>
              <w:pStyle w:val="182"/>
            </w:pPr>
          </w:p>
        </w:tc>
      </w:tr>
      <w:tr w14:paraId="5F943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1" w:type="pct"/>
            <w:vMerge w:val="restart"/>
            <w:vAlign w:val="center"/>
          </w:tcPr>
          <w:p w14:paraId="01D606FE">
            <w:pPr>
              <w:pStyle w:val="182"/>
            </w:pPr>
            <w:r>
              <w:rPr>
                <w:rFonts w:hint="eastAsia" w:hAnsi="宋体"/>
                <w:szCs w:val="18"/>
              </w:rPr>
              <w:t>包装储运阶段</w:t>
            </w:r>
          </w:p>
        </w:tc>
        <w:tc>
          <w:tcPr>
            <w:tcW w:w="832" w:type="pct"/>
          </w:tcPr>
          <w:p w14:paraId="0AD7023D">
            <w:pPr>
              <w:pStyle w:val="182"/>
            </w:pPr>
            <w:r>
              <w:rPr>
                <w:rFonts w:hint="eastAsia" w:hAnsi="宋体"/>
                <w:szCs w:val="18"/>
              </w:rPr>
              <w:t>厂区仓储管理</w:t>
            </w:r>
          </w:p>
        </w:tc>
        <w:tc>
          <w:tcPr>
            <w:tcW w:w="832" w:type="pct"/>
            <w:vAlign w:val="center"/>
          </w:tcPr>
          <w:p w14:paraId="757D87F8">
            <w:pPr>
              <w:pStyle w:val="182"/>
            </w:pPr>
          </w:p>
        </w:tc>
        <w:tc>
          <w:tcPr>
            <w:tcW w:w="796" w:type="pct"/>
            <w:vAlign w:val="center"/>
          </w:tcPr>
          <w:p w14:paraId="6BD63390">
            <w:pPr>
              <w:pStyle w:val="182"/>
            </w:pPr>
          </w:p>
        </w:tc>
        <w:tc>
          <w:tcPr>
            <w:tcW w:w="877" w:type="pct"/>
            <w:vAlign w:val="center"/>
          </w:tcPr>
          <w:p w14:paraId="1384FD66">
            <w:pPr>
              <w:pStyle w:val="182"/>
            </w:pPr>
          </w:p>
        </w:tc>
        <w:tc>
          <w:tcPr>
            <w:tcW w:w="832" w:type="pct"/>
            <w:vAlign w:val="center"/>
          </w:tcPr>
          <w:p w14:paraId="6FF9DCB0">
            <w:pPr>
              <w:pStyle w:val="182"/>
            </w:pPr>
          </w:p>
        </w:tc>
      </w:tr>
      <w:tr w14:paraId="3D54F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1" w:type="pct"/>
            <w:vMerge w:val="continue"/>
            <w:vAlign w:val="center"/>
          </w:tcPr>
          <w:p w14:paraId="53825D8E">
            <w:pPr>
              <w:pStyle w:val="182"/>
            </w:pPr>
          </w:p>
        </w:tc>
        <w:tc>
          <w:tcPr>
            <w:tcW w:w="832" w:type="pct"/>
          </w:tcPr>
          <w:p w14:paraId="4B4BFF54">
            <w:pPr>
              <w:pStyle w:val="182"/>
            </w:pPr>
            <w:r>
              <w:rPr>
                <w:rFonts w:hint="eastAsia" w:hAnsi="宋体"/>
                <w:szCs w:val="18"/>
              </w:rPr>
              <w:t>区域物流运输</w:t>
            </w:r>
          </w:p>
        </w:tc>
        <w:tc>
          <w:tcPr>
            <w:tcW w:w="832" w:type="pct"/>
            <w:vAlign w:val="center"/>
          </w:tcPr>
          <w:p w14:paraId="3D8F2530">
            <w:pPr>
              <w:pStyle w:val="182"/>
            </w:pPr>
          </w:p>
        </w:tc>
        <w:tc>
          <w:tcPr>
            <w:tcW w:w="796" w:type="pct"/>
            <w:vAlign w:val="center"/>
          </w:tcPr>
          <w:p w14:paraId="37927CF4">
            <w:pPr>
              <w:pStyle w:val="182"/>
            </w:pPr>
          </w:p>
        </w:tc>
        <w:tc>
          <w:tcPr>
            <w:tcW w:w="877" w:type="pct"/>
            <w:vAlign w:val="center"/>
          </w:tcPr>
          <w:p w14:paraId="09D0604E">
            <w:pPr>
              <w:pStyle w:val="182"/>
            </w:pPr>
          </w:p>
        </w:tc>
        <w:tc>
          <w:tcPr>
            <w:tcW w:w="832" w:type="pct"/>
            <w:vAlign w:val="center"/>
          </w:tcPr>
          <w:p w14:paraId="1A0B44A3">
            <w:pPr>
              <w:pStyle w:val="182"/>
            </w:pPr>
          </w:p>
        </w:tc>
      </w:tr>
    </w:tbl>
    <w:p w14:paraId="7EF3E7FB">
      <w:pPr>
        <w:pStyle w:val="60"/>
        <w:ind w:firstLine="420"/>
      </w:pPr>
    </w:p>
    <w:p w14:paraId="6E1780E4">
      <w:pPr>
        <w:pStyle w:val="60"/>
        <w:spacing w:line="360" w:lineRule="auto"/>
        <w:ind w:firstLine="440"/>
      </w:pPr>
      <w:r>
        <w:rPr>
          <w:rFonts w:hint="eastAsia" w:ascii="黑体" w:hAnsi="黑体" w:eastAsia="黑体"/>
          <w:sz w:val="22"/>
          <w:szCs w:val="21"/>
        </w:rPr>
        <w:t>4、数据质量评价（可选项）</w:t>
      </w:r>
    </w:p>
    <w:p w14:paraId="16B89CA6">
      <w:pPr>
        <w:pStyle w:val="178"/>
        <w:numPr>
          <w:ilvl w:val="0"/>
          <w:numId w:val="0"/>
        </w:numPr>
        <w:spacing w:line="360" w:lineRule="auto"/>
        <w:ind w:left="105" w:leftChars="50" w:firstLine="440" w:firstLineChars="200"/>
        <w:rPr>
          <w:sz w:val="22"/>
          <w:szCs w:val="21"/>
        </w:rPr>
      </w:pPr>
      <w:r>
        <w:rPr>
          <w:rFonts w:hint="eastAsia"/>
          <w:sz w:val="22"/>
          <w:szCs w:val="21"/>
        </w:rPr>
        <w:t>数据质量可从定性和定量两个方面对报告使用的初级数据和次级数据进行评价，具体评价内容包括数据来源、完整性、数据代表性（时间、地理、技术）和准确性。</w:t>
      </w:r>
    </w:p>
    <w:p w14:paraId="435E3C7C">
      <w:pPr>
        <w:pStyle w:val="178"/>
        <w:numPr>
          <w:ilvl w:val="0"/>
          <w:numId w:val="0"/>
        </w:numPr>
        <w:spacing w:line="360" w:lineRule="auto"/>
        <w:ind w:firstLine="440" w:firstLineChars="200"/>
        <w:rPr>
          <w:rFonts w:hint="eastAsia" w:ascii="黑体" w:hAnsi="黑体" w:eastAsia="黑体"/>
          <w:bCs/>
          <w:sz w:val="22"/>
          <w:szCs w:val="21"/>
        </w:rPr>
      </w:pPr>
      <w:r>
        <w:rPr>
          <w:rFonts w:hint="eastAsia" w:ascii="黑体" w:hAnsi="黑体" w:eastAsia="黑体"/>
          <w:bCs/>
          <w:sz w:val="22"/>
          <w:szCs w:val="21"/>
        </w:rPr>
        <w:t>四、结果解释</w:t>
      </w:r>
    </w:p>
    <w:p w14:paraId="11433306">
      <w:pPr>
        <w:pStyle w:val="178"/>
        <w:numPr>
          <w:ilvl w:val="0"/>
          <w:numId w:val="0"/>
        </w:numPr>
        <w:spacing w:line="360" w:lineRule="auto"/>
        <w:ind w:firstLine="440" w:firstLineChars="200"/>
        <w:rPr>
          <w:rFonts w:hint="eastAsia" w:ascii="黑体" w:hAnsi="黑体" w:eastAsia="黑体"/>
          <w:sz w:val="22"/>
          <w:szCs w:val="21"/>
        </w:rPr>
      </w:pPr>
      <w:r>
        <w:rPr>
          <w:rFonts w:hint="eastAsia" w:ascii="黑体" w:hAnsi="黑体" w:eastAsia="黑体"/>
          <w:sz w:val="22"/>
          <w:szCs w:val="21"/>
        </w:rPr>
        <w:t>1、结果说明</w:t>
      </w:r>
    </w:p>
    <w:p w14:paraId="5A0915B7">
      <w:pPr>
        <w:pStyle w:val="178"/>
        <w:numPr>
          <w:ilvl w:val="0"/>
          <w:numId w:val="0"/>
        </w:numPr>
        <w:spacing w:line="360" w:lineRule="auto"/>
        <w:ind w:firstLine="110" w:firstLineChars="50"/>
        <w:rPr>
          <w:rFonts w:hint="eastAsia" w:ascii="黑体" w:hAnsi="黑体" w:eastAsia="黑体"/>
          <w:bCs/>
          <w:sz w:val="22"/>
          <w:szCs w:val="21"/>
        </w:rPr>
      </w:pPr>
      <w:r>
        <w:rPr>
          <w:rFonts w:hint="eastAsia" w:ascii="黑体" w:hAnsi="黑体" w:eastAsia="黑体"/>
          <w:bCs/>
          <w:sz w:val="22"/>
          <w:szCs w:val="21"/>
        </w:rPr>
        <w:t xml:space="preserve">   </w:t>
      </w:r>
      <w:r>
        <w:rPr>
          <w:rFonts w:hint="eastAsia"/>
          <w:sz w:val="22"/>
          <w:szCs w:val="21"/>
          <w:u w:val="single"/>
        </w:rPr>
        <w:t xml:space="preserve">            </w:t>
      </w:r>
      <w:r>
        <w:rPr>
          <w:rFonts w:hint="eastAsia"/>
          <w:sz w:val="22"/>
          <w:szCs w:val="21"/>
        </w:rPr>
        <w:t>公司（填写产品生产者的全名）生产的</w:t>
      </w:r>
      <w:r>
        <w:rPr>
          <w:rFonts w:hint="eastAsia"/>
          <w:sz w:val="22"/>
          <w:szCs w:val="21"/>
          <w:u w:val="single"/>
        </w:rPr>
        <w:t xml:space="preserve">            </w:t>
      </w:r>
      <w:r>
        <w:rPr>
          <w:rFonts w:hint="eastAsia"/>
          <w:sz w:val="22"/>
          <w:szCs w:val="21"/>
        </w:rPr>
        <w:t>填写所评价的产品名称， 每声明单位的产品），从</w:t>
      </w:r>
      <w:r>
        <w:rPr>
          <w:rFonts w:hint="eastAsia"/>
          <w:sz w:val="22"/>
          <w:szCs w:val="21"/>
          <w:u w:val="single"/>
        </w:rPr>
        <w:t xml:space="preserve">       </w:t>
      </w:r>
      <w:r>
        <w:rPr>
          <w:rFonts w:hint="eastAsia"/>
          <w:sz w:val="22"/>
          <w:szCs w:val="21"/>
        </w:rPr>
        <w:t>（填写某生命周期阶段）到</w:t>
      </w:r>
      <w:r>
        <w:rPr>
          <w:rFonts w:hint="eastAsia"/>
          <w:sz w:val="22"/>
          <w:szCs w:val="21"/>
          <w:u w:val="single"/>
        </w:rPr>
        <w:t xml:space="preserve">               </w:t>
      </w:r>
      <w:r>
        <w:rPr>
          <w:rFonts w:hint="eastAsia"/>
          <w:sz w:val="22"/>
          <w:szCs w:val="21"/>
        </w:rPr>
        <w:t>（填写某生命周期阶段）生命周期碳足迹为</w:t>
      </w:r>
      <w:r>
        <w:rPr>
          <w:rFonts w:hint="eastAsia"/>
          <w:sz w:val="22"/>
          <w:szCs w:val="21"/>
          <w:u w:val="single"/>
        </w:rPr>
        <w:t xml:space="preserve">            </w:t>
      </w:r>
      <w:r>
        <w:rPr>
          <w:rFonts w:hint="eastAsia"/>
          <w:sz w:val="22"/>
          <w:szCs w:val="21"/>
        </w:rPr>
        <w:t>kgCO</w:t>
      </w:r>
      <w:r>
        <w:rPr>
          <w:rFonts w:hint="eastAsia"/>
          <w:sz w:val="22"/>
          <w:szCs w:val="21"/>
          <w:vertAlign w:val="subscript"/>
        </w:rPr>
        <w:t>2</w:t>
      </w:r>
      <w:r>
        <w:rPr>
          <w:rFonts w:hint="eastAsia"/>
          <w:sz w:val="22"/>
          <w:szCs w:val="21"/>
        </w:rPr>
        <w:t>e。水足迹为</w:t>
      </w:r>
      <w:r>
        <w:rPr>
          <w:rFonts w:hint="eastAsia"/>
          <w:sz w:val="22"/>
          <w:szCs w:val="21"/>
          <w:u w:val="single"/>
        </w:rPr>
        <w:t xml:space="preserve">            </w:t>
      </w:r>
      <w:r>
        <w:rPr>
          <w:rFonts w:hint="eastAsia"/>
          <w:sz w:val="22"/>
          <w:szCs w:val="21"/>
        </w:rPr>
        <w:t>吨，各生命周期阶段的温室气体排放情况如表</w:t>
      </w:r>
      <w:r>
        <w:rPr>
          <w:sz w:val="22"/>
          <w:szCs w:val="21"/>
        </w:rPr>
        <w:t>A</w:t>
      </w:r>
      <w:r>
        <w:rPr>
          <w:rFonts w:hint="eastAsia"/>
          <w:sz w:val="22"/>
          <w:szCs w:val="21"/>
        </w:rPr>
        <w:t>.2和</w:t>
      </w:r>
      <w:r>
        <w:rPr>
          <w:sz w:val="22"/>
          <w:szCs w:val="21"/>
        </w:rPr>
        <w:t>图A.2</w:t>
      </w:r>
      <w:r>
        <w:rPr>
          <w:rFonts w:hint="eastAsia"/>
          <w:sz w:val="22"/>
          <w:szCs w:val="21"/>
        </w:rPr>
        <w:t>所示，各生命周期水消耗量如表A.3和图A.3所示</w:t>
      </w:r>
      <w:r>
        <w:rPr>
          <w:sz w:val="22"/>
          <w:szCs w:val="21"/>
        </w:rPr>
        <w:t>。</w:t>
      </w:r>
    </w:p>
    <w:p w14:paraId="2992F196">
      <w:pPr>
        <w:pStyle w:val="81"/>
        <w:spacing w:before="120" w:after="120"/>
      </w:pPr>
      <w:r>
        <w:rPr>
          <w:rFonts w:hint="eastAsia"/>
          <w:sz w:val="22"/>
          <w:szCs w:val="21"/>
          <w:u w:val="single"/>
        </w:rPr>
        <w:t xml:space="preserve">       </w:t>
      </w:r>
      <w:r>
        <w:rPr>
          <w:rFonts w:hint="eastAsia"/>
        </w:rPr>
        <w:t>生命周期各阶段碳排放情况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7AD31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tcBorders>
              <w:top w:val="single" w:color="auto" w:sz="8" w:space="0"/>
              <w:bottom w:val="single" w:color="auto" w:sz="8" w:space="0"/>
            </w:tcBorders>
            <w:vAlign w:val="center"/>
          </w:tcPr>
          <w:p w14:paraId="054AD4BF">
            <w:pPr>
              <w:pStyle w:val="182"/>
            </w:pPr>
            <w:r>
              <w:rPr>
                <w:rFonts w:hint="eastAsia"/>
                <w:szCs w:val="18"/>
              </w:rPr>
              <w:t>生命周期阶段</w:t>
            </w:r>
          </w:p>
        </w:tc>
        <w:tc>
          <w:tcPr>
            <w:tcW w:w="1867" w:type="dxa"/>
            <w:tcBorders>
              <w:top w:val="single" w:color="auto" w:sz="8" w:space="0"/>
              <w:bottom w:val="single" w:color="auto" w:sz="8" w:space="0"/>
            </w:tcBorders>
          </w:tcPr>
          <w:p w14:paraId="22D06148">
            <w:pPr>
              <w:pStyle w:val="182"/>
            </w:pPr>
            <w:r>
              <w:rPr>
                <w:rFonts w:hint="eastAsia"/>
                <w:szCs w:val="18"/>
              </w:rPr>
              <w:t>kgCO</w:t>
            </w:r>
            <w:r>
              <w:rPr>
                <w:rFonts w:hint="eastAsia"/>
                <w:szCs w:val="18"/>
                <w:vertAlign w:val="subscript"/>
              </w:rPr>
              <w:t>2</w:t>
            </w:r>
            <w:r>
              <w:rPr>
                <w:rFonts w:hint="eastAsia"/>
                <w:szCs w:val="18"/>
              </w:rPr>
              <w:t>e/声明单位</w:t>
            </w:r>
          </w:p>
        </w:tc>
        <w:tc>
          <w:tcPr>
            <w:tcW w:w="1867" w:type="dxa"/>
            <w:tcBorders>
              <w:top w:val="single" w:color="auto" w:sz="8" w:space="0"/>
              <w:bottom w:val="single" w:color="auto" w:sz="8" w:space="0"/>
            </w:tcBorders>
          </w:tcPr>
          <w:p w14:paraId="2F30BBFB">
            <w:pPr>
              <w:pStyle w:val="182"/>
            </w:pPr>
            <w:r>
              <w:rPr>
                <w:rFonts w:hint="eastAsia"/>
                <w:szCs w:val="18"/>
              </w:rPr>
              <w:t>百分比</w:t>
            </w:r>
          </w:p>
        </w:tc>
        <w:tc>
          <w:tcPr>
            <w:tcW w:w="1867" w:type="dxa"/>
            <w:tcBorders>
              <w:top w:val="single" w:color="auto" w:sz="8" w:space="0"/>
              <w:bottom w:val="single" w:color="auto" w:sz="8" w:space="0"/>
            </w:tcBorders>
          </w:tcPr>
          <w:p w14:paraId="7BA86831">
            <w:pPr>
              <w:pStyle w:val="182"/>
            </w:pPr>
            <w:r>
              <w:rPr>
                <w:rFonts w:hint="eastAsia"/>
                <w:szCs w:val="18"/>
              </w:rPr>
              <w:t>吨/声明单位</w:t>
            </w:r>
          </w:p>
        </w:tc>
        <w:tc>
          <w:tcPr>
            <w:tcW w:w="1867" w:type="dxa"/>
            <w:tcBorders>
              <w:top w:val="single" w:color="auto" w:sz="8" w:space="0"/>
              <w:bottom w:val="single" w:color="auto" w:sz="8" w:space="0"/>
            </w:tcBorders>
          </w:tcPr>
          <w:p w14:paraId="06B2221B">
            <w:pPr>
              <w:pStyle w:val="182"/>
            </w:pPr>
            <w:r>
              <w:rPr>
                <w:rFonts w:hint="eastAsia"/>
                <w:szCs w:val="18"/>
              </w:rPr>
              <w:t>百分比</w:t>
            </w:r>
          </w:p>
        </w:tc>
      </w:tr>
      <w:tr w14:paraId="45FA7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vAlign w:val="center"/>
          </w:tcPr>
          <w:p w14:paraId="0EC5DF79">
            <w:pPr>
              <w:pStyle w:val="182"/>
            </w:pPr>
            <w:r>
              <w:rPr>
                <w:szCs w:val="18"/>
              </w:rPr>
              <w:t>原材料获取阶段</w:t>
            </w:r>
          </w:p>
        </w:tc>
        <w:tc>
          <w:tcPr>
            <w:tcW w:w="1867" w:type="dxa"/>
            <w:tcBorders>
              <w:top w:val="single" w:color="auto" w:sz="8" w:space="0"/>
            </w:tcBorders>
          </w:tcPr>
          <w:p w14:paraId="581AD356">
            <w:pPr>
              <w:pStyle w:val="182"/>
            </w:pPr>
          </w:p>
        </w:tc>
        <w:tc>
          <w:tcPr>
            <w:tcW w:w="1867" w:type="dxa"/>
            <w:tcBorders>
              <w:top w:val="single" w:color="auto" w:sz="8" w:space="0"/>
            </w:tcBorders>
          </w:tcPr>
          <w:p w14:paraId="182A74CB">
            <w:pPr>
              <w:pStyle w:val="182"/>
            </w:pPr>
          </w:p>
        </w:tc>
        <w:tc>
          <w:tcPr>
            <w:tcW w:w="1867" w:type="dxa"/>
            <w:tcBorders>
              <w:top w:val="single" w:color="auto" w:sz="8" w:space="0"/>
            </w:tcBorders>
          </w:tcPr>
          <w:p w14:paraId="2FCF4E76">
            <w:pPr>
              <w:pStyle w:val="182"/>
            </w:pPr>
          </w:p>
        </w:tc>
        <w:tc>
          <w:tcPr>
            <w:tcW w:w="1867" w:type="dxa"/>
            <w:tcBorders>
              <w:top w:val="single" w:color="auto" w:sz="8" w:space="0"/>
            </w:tcBorders>
          </w:tcPr>
          <w:p w14:paraId="3F01DFFB">
            <w:pPr>
              <w:pStyle w:val="182"/>
            </w:pPr>
          </w:p>
        </w:tc>
      </w:tr>
      <w:tr w14:paraId="6C5EA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34701221">
            <w:pPr>
              <w:pStyle w:val="182"/>
            </w:pPr>
            <w:r>
              <w:rPr>
                <w:szCs w:val="18"/>
              </w:rPr>
              <w:t>生产加工阶段</w:t>
            </w:r>
          </w:p>
        </w:tc>
        <w:tc>
          <w:tcPr>
            <w:tcW w:w="1867" w:type="dxa"/>
          </w:tcPr>
          <w:p w14:paraId="4A745095">
            <w:pPr>
              <w:pStyle w:val="182"/>
            </w:pPr>
          </w:p>
        </w:tc>
        <w:tc>
          <w:tcPr>
            <w:tcW w:w="1867" w:type="dxa"/>
          </w:tcPr>
          <w:p w14:paraId="6B4440BD">
            <w:pPr>
              <w:pStyle w:val="182"/>
            </w:pPr>
          </w:p>
        </w:tc>
        <w:tc>
          <w:tcPr>
            <w:tcW w:w="1867" w:type="dxa"/>
          </w:tcPr>
          <w:p w14:paraId="34747FFB">
            <w:pPr>
              <w:pStyle w:val="182"/>
            </w:pPr>
          </w:p>
        </w:tc>
        <w:tc>
          <w:tcPr>
            <w:tcW w:w="1867" w:type="dxa"/>
          </w:tcPr>
          <w:p w14:paraId="745E9A9F">
            <w:pPr>
              <w:pStyle w:val="182"/>
            </w:pPr>
          </w:p>
        </w:tc>
      </w:tr>
      <w:tr w14:paraId="00256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067F38DD">
            <w:pPr>
              <w:pStyle w:val="182"/>
            </w:pPr>
            <w:r>
              <w:rPr>
                <w:rFonts w:hint="eastAsia"/>
                <w:szCs w:val="18"/>
              </w:rPr>
              <w:t>包装储运阶段</w:t>
            </w:r>
          </w:p>
        </w:tc>
        <w:tc>
          <w:tcPr>
            <w:tcW w:w="1867" w:type="dxa"/>
          </w:tcPr>
          <w:p w14:paraId="59B52F28">
            <w:pPr>
              <w:pStyle w:val="182"/>
            </w:pPr>
          </w:p>
        </w:tc>
        <w:tc>
          <w:tcPr>
            <w:tcW w:w="1867" w:type="dxa"/>
          </w:tcPr>
          <w:p w14:paraId="16DEE634">
            <w:pPr>
              <w:pStyle w:val="182"/>
            </w:pPr>
          </w:p>
        </w:tc>
        <w:tc>
          <w:tcPr>
            <w:tcW w:w="1867" w:type="dxa"/>
          </w:tcPr>
          <w:p w14:paraId="0032161C">
            <w:pPr>
              <w:pStyle w:val="182"/>
            </w:pPr>
          </w:p>
        </w:tc>
        <w:tc>
          <w:tcPr>
            <w:tcW w:w="1867" w:type="dxa"/>
          </w:tcPr>
          <w:p w14:paraId="1C86F303">
            <w:pPr>
              <w:pStyle w:val="182"/>
            </w:pPr>
          </w:p>
        </w:tc>
      </w:tr>
      <w:tr w14:paraId="0B67E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370BB22F">
            <w:pPr>
              <w:pStyle w:val="182"/>
            </w:pPr>
            <w:r>
              <w:rPr>
                <w:rFonts w:hint="eastAsia"/>
              </w:rPr>
              <w:t>总计</w:t>
            </w:r>
          </w:p>
        </w:tc>
        <w:tc>
          <w:tcPr>
            <w:tcW w:w="7468" w:type="dxa"/>
            <w:gridSpan w:val="4"/>
            <w:vAlign w:val="center"/>
          </w:tcPr>
          <w:p w14:paraId="56BF7E94">
            <w:pPr>
              <w:pStyle w:val="182"/>
            </w:pPr>
          </w:p>
        </w:tc>
      </w:tr>
    </w:tbl>
    <w:p w14:paraId="2B863F9B">
      <w:pPr>
        <w:pStyle w:val="183"/>
        <w:spacing w:line="360" w:lineRule="auto"/>
      </w:pPr>
      <w:r>
        <w:rPr>
          <w:rFonts w:hint="eastAsia"/>
        </w:rPr>
        <w:t>具体产品</w:t>
      </w:r>
      <w:r>
        <w:t>生命周期阶段</w:t>
      </w:r>
      <w:r>
        <w:rPr>
          <w:rFonts w:hint="eastAsia"/>
        </w:rPr>
        <w:t>碳排放分布图一般</w:t>
      </w:r>
      <w:r>
        <w:t>以饼状</w:t>
      </w:r>
      <w:r>
        <w:rPr>
          <w:rFonts w:hint="eastAsia"/>
        </w:rPr>
        <w:t>图</w:t>
      </w:r>
      <w:r>
        <w:t>或柱形图</w:t>
      </w:r>
      <w:r>
        <w:rPr>
          <w:rFonts w:hint="eastAsia"/>
        </w:rPr>
        <w:t>表示</w:t>
      </w:r>
      <w:r>
        <w:t>各生命周期</w:t>
      </w:r>
      <w:r>
        <w:rPr>
          <w:rFonts w:hint="eastAsia"/>
        </w:rPr>
        <w:t>阶段</w:t>
      </w:r>
      <w:r>
        <w:t>的</w:t>
      </w:r>
      <w:r>
        <w:rPr>
          <w:rFonts w:hint="eastAsia"/>
        </w:rPr>
        <w:t>碳排放</w:t>
      </w:r>
      <w:r>
        <w:t>情况。</w:t>
      </w:r>
    </w:p>
    <w:p w14:paraId="5842F4F9">
      <w:pPr>
        <w:pStyle w:val="60"/>
        <w:ind w:firstLine="420"/>
      </w:pPr>
    </w:p>
    <w:p w14:paraId="1BBCE23B">
      <w:pPr>
        <w:pStyle w:val="87"/>
        <w:spacing w:before="120" w:after="120" w:line="360" w:lineRule="auto"/>
        <w:ind w:left="780" w:hanging="360"/>
      </w:pPr>
      <w:r>
        <w:rPr>
          <w:rFonts w:hint="eastAsia"/>
        </w:rPr>
        <w:t xml:space="preserve"> X</w:t>
      </w:r>
      <w:r>
        <w:t>X</w:t>
      </w:r>
      <w:r>
        <w:rPr>
          <w:rFonts w:hint="eastAsia"/>
        </w:rPr>
        <w:t>各生命周期阶段碳排放分布图</w:t>
      </w:r>
    </w:p>
    <w:p w14:paraId="383FA8E2">
      <w:pPr>
        <w:pStyle w:val="60"/>
        <w:spacing w:line="360" w:lineRule="auto"/>
        <w:ind w:firstLine="209" w:firstLineChars="95"/>
        <w:rPr>
          <w:rFonts w:hint="eastAsia" w:ascii="黑体" w:hAnsi="黑体" w:eastAsia="黑体"/>
          <w:sz w:val="22"/>
          <w:szCs w:val="21"/>
        </w:rPr>
      </w:pPr>
      <w:r>
        <w:rPr>
          <w:rFonts w:hint="eastAsia" w:ascii="黑体" w:hAnsi="黑体" w:eastAsia="黑体"/>
          <w:sz w:val="22"/>
          <w:szCs w:val="21"/>
        </w:rPr>
        <w:t>2、</w:t>
      </w:r>
      <w:r>
        <w:rPr>
          <w:rFonts w:ascii="黑体" w:hAnsi="黑体" w:eastAsia="黑体"/>
          <w:sz w:val="22"/>
          <w:szCs w:val="21"/>
        </w:rPr>
        <w:t>假设和局限性说明（</w:t>
      </w:r>
      <w:r>
        <w:rPr>
          <w:rFonts w:hint="eastAsia" w:ascii="黑体" w:hAnsi="黑体" w:eastAsia="黑体"/>
          <w:sz w:val="22"/>
          <w:szCs w:val="21"/>
        </w:rPr>
        <w:t>可</w:t>
      </w:r>
      <w:r>
        <w:rPr>
          <w:rFonts w:ascii="黑体" w:hAnsi="黑体" w:eastAsia="黑体"/>
          <w:sz w:val="22"/>
          <w:szCs w:val="21"/>
        </w:rPr>
        <w:t>选项）</w:t>
      </w:r>
    </w:p>
    <w:p w14:paraId="7D3EA975">
      <w:pPr>
        <w:pStyle w:val="60"/>
        <w:spacing w:line="360" w:lineRule="auto"/>
        <w:ind w:firstLine="209" w:firstLineChars="95"/>
        <w:rPr>
          <w:sz w:val="22"/>
          <w:szCs w:val="21"/>
        </w:rPr>
      </w:pPr>
      <w:r>
        <w:rPr>
          <w:rFonts w:hint="eastAsia" w:ascii="黑体" w:hAnsi="黑体" w:eastAsia="黑体"/>
          <w:sz w:val="22"/>
          <w:szCs w:val="21"/>
        </w:rPr>
        <w:t xml:space="preserve"> </w:t>
      </w:r>
      <w:r>
        <w:rPr>
          <w:rFonts w:ascii="黑体" w:hAnsi="黑体" w:eastAsia="黑体"/>
          <w:sz w:val="22"/>
          <w:szCs w:val="21"/>
        </w:rPr>
        <w:t xml:space="preserve">    </w:t>
      </w:r>
      <w:r>
        <w:rPr>
          <w:rFonts w:hint="eastAsia"/>
          <w:sz w:val="22"/>
          <w:szCs w:val="21"/>
        </w:rPr>
        <w:t>结合</w:t>
      </w:r>
      <w:r>
        <w:rPr>
          <w:sz w:val="22"/>
          <w:szCs w:val="21"/>
        </w:rPr>
        <w:t>量化情况</w:t>
      </w:r>
      <w:r>
        <w:rPr>
          <w:rFonts w:hint="eastAsia"/>
          <w:sz w:val="22"/>
          <w:szCs w:val="21"/>
        </w:rPr>
        <w:t>，</w:t>
      </w:r>
      <w:r>
        <w:rPr>
          <w:sz w:val="22"/>
          <w:szCs w:val="21"/>
        </w:rPr>
        <w:t>对范围</w:t>
      </w:r>
      <w:r>
        <w:rPr>
          <w:rFonts w:hint="eastAsia"/>
          <w:sz w:val="22"/>
          <w:szCs w:val="21"/>
        </w:rPr>
        <w:t>、</w:t>
      </w:r>
      <w:r>
        <w:rPr>
          <w:sz w:val="22"/>
          <w:szCs w:val="21"/>
        </w:rPr>
        <w:t>数据选择</w:t>
      </w:r>
      <w:r>
        <w:rPr>
          <w:rFonts w:hint="eastAsia"/>
          <w:sz w:val="22"/>
          <w:szCs w:val="21"/>
        </w:rPr>
        <w:t>、</w:t>
      </w:r>
      <w:r>
        <w:rPr>
          <w:sz w:val="22"/>
          <w:szCs w:val="21"/>
        </w:rPr>
        <w:t>情景设定</w:t>
      </w:r>
      <w:r>
        <w:rPr>
          <w:rFonts w:hint="eastAsia"/>
          <w:sz w:val="22"/>
          <w:szCs w:val="21"/>
        </w:rPr>
        <w:t>等相关的</w:t>
      </w:r>
      <w:r>
        <w:rPr>
          <w:sz w:val="22"/>
          <w:szCs w:val="21"/>
        </w:rPr>
        <w:t>假设和</w:t>
      </w:r>
      <w:r>
        <w:rPr>
          <w:rFonts w:hint="eastAsia"/>
          <w:sz w:val="22"/>
          <w:szCs w:val="21"/>
        </w:rPr>
        <w:t>局限</w:t>
      </w:r>
      <w:r>
        <w:rPr>
          <w:sz w:val="22"/>
          <w:szCs w:val="21"/>
        </w:rPr>
        <w:t>进行说明。</w:t>
      </w:r>
    </w:p>
    <w:p w14:paraId="67F7F905">
      <w:pPr>
        <w:pStyle w:val="60"/>
        <w:spacing w:line="360" w:lineRule="auto"/>
        <w:ind w:firstLine="209" w:firstLineChars="95"/>
        <w:rPr>
          <w:rFonts w:hint="eastAsia" w:ascii="黑体" w:hAnsi="黑体" w:eastAsia="黑体"/>
          <w:sz w:val="22"/>
          <w:szCs w:val="21"/>
        </w:rPr>
      </w:pPr>
      <w:r>
        <w:rPr>
          <w:rFonts w:ascii="黑体" w:hAnsi="黑体" w:eastAsia="黑体"/>
          <w:sz w:val="22"/>
          <w:szCs w:val="21"/>
        </w:rPr>
        <w:t>3</w:t>
      </w:r>
      <w:r>
        <w:rPr>
          <w:rFonts w:hint="eastAsia" w:ascii="黑体" w:hAnsi="黑体" w:eastAsia="黑体"/>
          <w:sz w:val="22"/>
          <w:szCs w:val="21"/>
        </w:rPr>
        <w:t>、改进建议</w:t>
      </w:r>
    </w:p>
    <w:p w14:paraId="2F19170C">
      <w:pPr>
        <w:pStyle w:val="60"/>
        <w:ind w:firstLine="420"/>
      </w:pPr>
    </w:p>
    <w:p w14:paraId="70960637">
      <w:pPr>
        <w:pStyle w:val="60"/>
        <w:ind w:firstLine="420"/>
      </w:pPr>
    </w:p>
    <w:p w14:paraId="46796A89">
      <w:pPr>
        <w:pStyle w:val="60"/>
        <w:ind w:firstLine="420"/>
      </w:pPr>
    </w:p>
    <w:bookmarkEnd w:id="45"/>
    <w:p w14:paraId="3AF8DBAB">
      <w:pPr>
        <w:pStyle w:val="60"/>
        <w:ind w:firstLine="420"/>
        <w:sectPr>
          <w:pgSz w:w="11906" w:h="16838"/>
          <w:pgMar w:top="1928" w:right="1134" w:bottom="1134" w:left="1134" w:header="1418" w:footer="1134" w:gutter="284"/>
          <w:cols w:space="425" w:num="1"/>
          <w:formProt w:val="0"/>
          <w:docGrid w:linePitch="312" w:charSpace="0"/>
        </w:sectPr>
      </w:pPr>
      <w:bookmarkStart w:id="47" w:name="BookMark6"/>
    </w:p>
    <w:p w14:paraId="780FF70D">
      <w:pPr>
        <w:pStyle w:val="67"/>
        <w:spacing w:after="120"/>
      </w:pPr>
      <w:r>
        <w:rPr>
          <w:rFonts w:hint="eastAsia"/>
          <w:spacing w:val="105"/>
        </w:rPr>
        <w:t>参考文</w:t>
      </w:r>
      <w:r>
        <w:rPr>
          <w:rFonts w:hint="eastAsia"/>
        </w:rPr>
        <w:t>献</w:t>
      </w:r>
    </w:p>
    <w:p w14:paraId="178595F3">
      <w:pPr>
        <w:pStyle w:val="60"/>
        <w:ind w:firstLine="0" w:firstLineChars="0"/>
        <w:rPr>
          <w:rFonts w:ascii="Segoe UI" w:hAnsi="Segoe UI" w:eastAsia="Segoe UI" w:cs="Segoe UI"/>
          <w:color w:val="000000"/>
          <w:szCs w:val="21"/>
          <w:lang w:bidi="ar"/>
        </w:rPr>
      </w:pPr>
      <w:r>
        <w:rPr>
          <w:rFonts w:ascii="Segoe UI" w:hAnsi="Segoe UI" w:eastAsia="Segoe UI" w:cs="Segoe UI"/>
          <w:color w:val="000000"/>
          <w:szCs w:val="21"/>
          <w:lang w:bidi="ar"/>
        </w:rPr>
        <w:t>[1]</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 xml:space="preserve"> GB/T 32150-2015 工业企业温室气体排放核算和报告通则</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[2]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GB/T 32151.12-2020 温室气体排放核算与报告要求 第12部分：乳制品生产企业</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[3]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GB/T 33262-2016 水足迹评价技术导则</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[4]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NY/T 1206-2021 乳品工业废水治理工程技术规范</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[5]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ISO 14067:2018 Greenhouse gases — Carbon footprint of products — Requirements and guidelines for quantification (温室气体—产品碳足迹—量化要求与指南)</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[6]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ISO 14046:2014 Environmental management — Water footprint — Principles, requirements and guidelines (环境管理—水足迹—原则、要求与指南)</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[7]</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 xml:space="preserve"> GHG Protocol Product Standard 2011, World Resources Institute (温室气体核算体系产品标准)</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[8]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DB15/T 3050-2023 内蒙古自治区乳制品企业碳排放核算指南</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[9]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DB15/T 3122-2024 寒区畜禽粪污资源化利用技术规范</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[10]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JJF 1070-2005 定量包装商品净含量计量检验规则</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[11]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HJ 828-2017 水质 化学需氧量的测定 重铬酸盐法</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[12]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GB/T 17141-1997 土壤质量 铅、镉的测定 石墨炉原子吸收分光光度法</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[13]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内蒙古自治区生态环境厅. 蒙西电网碳排放因子公告（2024年度）[Z]. 2024.</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[14]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IPCC. 2019 Refinement to the 2006 IPCC Guidelines for National Greenhouse Gas Inventories[R]. 2019.</w:t>
      </w:r>
      <w:r>
        <w:rPr>
          <w:rFonts w:ascii="Segoe UI" w:hAnsi="Segoe UI" w:eastAsia="Segoe UI" w:cs="Segoe UI"/>
          <w:color w:val="000000"/>
          <w:szCs w:val="21"/>
          <w:lang w:bidi="ar"/>
        </w:rPr>
        <w:br w:type="textWrapping"/>
      </w:r>
      <w:r>
        <w:rPr>
          <w:rFonts w:ascii="Segoe UI" w:hAnsi="Segoe UI" w:eastAsia="Segoe UI" w:cs="Segoe UI"/>
          <w:color w:val="000000"/>
          <w:szCs w:val="21"/>
          <w:lang w:bidi="ar"/>
        </w:rPr>
        <w:t xml:space="preserve">[15] </w:t>
      </w:r>
      <w:r>
        <w:rPr>
          <w:rFonts w:hint="eastAsia" w:ascii="Segoe UI" w:hAnsi="Segoe UI" w:eastAsia="Segoe UI" w:cs="Segoe UI"/>
          <w:color w:val="000000"/>
          <w:szCs w:val="21"/>
          <w:lang w:bidi="ar"/>
        </w:rPr>
        <w:t xml:space="preserve"> </w:t>
      </w:r>
      <w:r>
        <w:rPr>
          <w:rFonts w:ascii="Segoe UI" w:hAnsi="Segoe UI" w:eastAsia="Segoe UI" w:cs="Segoe UI"/>
          <w:color w:val="000000"/>
          <w:szCs w:val="21"/>
          <w:lang w:bidi="ar"/>
        </w:rPr>
        <w:t>内蒙古自治区水利厅. 黄灌区农业灌溉水稀缺指数（WSI）技术公报[Z]. 2023.</w:t>
      </w:r>
    </w:p>
    <w:p w14:paraId="7AD6583A">
      <w:pPr>
        <w:pStyle w:val="108"/>
        <w:numPr>
          <w:ilvl w:val="1"/>
          <w:numId w:val="0"/>
        </w:numPr>
        <w:spacing w:before="0" w:beforeLines="0" w:after="0" w:afterLines="0"/>
        <w:rPr>
          <w:rFonts w:ascii="Segoe UI" w:hAnsi="Segoe UI" w:eastAsia="Segoe UI" w:cs="Segoe UI"/>
          <w:color w:val="000000"/>
          <w:szCs w:val="21"/>
          <w:lang w:bidi="ar"/>
        </w:rPr>
      </w:pPr>
      <w:r>
        <w:rPr>
          <w:rFonts w:ascii="Segoe UI" w:hAnsi="Segoe UI" w:eastAsia="Segoe UI" w:cs="Segoe UI"/>
          <w:color w:val="000000"/>
          <w:szCs w:val="21"/>
          <w:lang w:bidi="ar"/>
        </w:rPr>
        <w:t>[1</w:t>
      </w:r>
      <w:r>
        <w:rPr>
          <w:rFonts w:hint="eastAsia" w:ascii="Segoe UI" w:hAnsi="Segoe UI" w:eastAsia="宋体" w:cs="Segoe UI"/>
          <w:color w:val="000000"/>
          <w:szCs w:val="21"/>
          <w:lang w:bidi="ar"/>
        </w:rPr>
        <w:t>6</w:t>
      </w:r>
      <w:r>
        <w:rPr>
          <w:rFonts w:ascii="Segoe UI" w:hAnsi="Segoe UI" w:eastAsia="Segoe UI" w:cs="Segoe UI"/>
          <w:color w:val="000000"/>
          <w:szCs w:val="21"/>
          <w:lang w:bidi="ar"/>
        </w:rPr>
        <w:t xml:space="preserve">] </w:t>
      </w:r>
      <w:r>
        <w:rPr>
          <w:rFonts w:hint="eastAsia" w:ascii="Segoe UI" w:hAnsi="Segoe UI" w:eastAsia="Segoe UI" w:cs="Segoe UI"/>
          <w:color w:val="000000"/>
          <w:szCs w:val="21"/>
          <w:lang w:bidi="ar"/>
        </w:rPr>
        <w:t xml:space="preserve"> GB/T 33859《环境管理 水足迹 原则、要求与指南》</w:t>
      </w:r>
    </w:p>
    <w:p w14:paraId="0C0397D1">
      <w:pPr>
        <w:pStyle w:val="60"/>
        <w:ind w:firstLine="0" w:firstLineChars="0"/>
        <w:rPr>
          <w:rFonts w:ascii="Segoe UI" w:hAnsi="Segoe UI" w:eastAsia="Segoe UI" w:cs="Segoe UI"/>
          <w:color w:val="000000"/>
          <w:szCs w:val="21"/>
          <w:lang w:bidi="ar"/>
        </w:rPr>
      </w:pPr>
      <w:r>
        <w:rPr>
          <w:rFonts w:ascii="Segoe UI" w:hAnsi="Segoe UI" w:eastAsia="Segoe UI" w:cs="Segoe UI"/>
          <w:color w:val="000000"/>
          <w:szCs w:val="21"/>
          <w:lang w:bidi="ar"/>
        </w:rPr>
        <w:t>[1</w:t>
      </w:r>
      <w:r>
        <w:rPr>
          <w:rFonts w:hint="eastAsia" w:ascii="Segoe UI" w:hAnsi="Segoe UI" w:eastAsia="Segoe UI" w:cs="Segoe UI"/>
          <w:color w:val="000000"/>
          <w:szCs w:val="21"/>
          <w:lang w:bidi="ar"/>
        </w:rPr>
        <w:t>7</w:t>
      </w:r>
      <w:r>
        <w:rPr>
          <w:rFonts w:ascii="Segoe UI" w:hAnsi="Segoe UI" w:eastAsia="Segoe UI" w:cs="Segoe UI"/>
          <w:color w:val="000000"/>
          <w:szCs w:val="21"/>
          <w:lang w:bidi="ar"/>
        </w:rPr>
        <w:t xml:space="preserve">] </w:t>
      </w:r>
      <w:r>
        <w:rPr>
          <w:rFonts w:hint="eastAsia" w:ascii="Segoe UI" w:hAnsi="Segoe UI" w:eastAsia="Segoe UI" w:cs="Segoe UI"/>
          <w:color w:val="000000"/>
          <w:szCs w:val="21"/>
          <w:lang w:bidi="ar"/>
        </w:rPr>
        <w:t xml:space="preserve"> GB/T 6432 饲料中粗蛋白的测定 凯氏定氮法</w:t>
      </w:r>
    </w:p>
    <w:p w14:paraId="00E3F263">
      <w:pPr>
        <w:pStyle w:val="108"/>
        <w:numPr>
          <w:ilvl w:val="1"/>
          <w:numId w:val="0"/>
        </w:numPr>
        <w:spacing w:before="0" w:beforeLines="0" w:after="0" w:afterLines="0"/>
        <w:rPr>
          <w:rFonts w:ascii="Segoe UI" w:hAnsi="Segoe UI" w:eastAsia="Segoe UI" w:cs="Segoe UI"/>
          <w:color w:val="000000"/>
          <w:szCs w:val="21"/>
          <w:lang w:bidi="ar"/>
        </w:rPr>
      </w:pPr>
      <w:r>
        <w:rPr>
          <w:rFonts w:ascii="Segoe UI" w:hAnsi="Segoe UI" w:eastAsia="Segoe UI" w:cs="Segoe UI"/>
          <w:color w:val="000000"/>
          <w:szCs w:val="21"/>
          <w:lang w:bidi="ar"/>
        </w:rPr>
        <w:t>[1</w:t>
      </w:r>
      <w:r>
        <w:rPr>
          <w:rFonts w:hint="eastAsia" w:ascii="Segoe UI" w:hAnsi="Segoe UI" w:eastAsia="Segoe UI" w:cs="Segoe UI"/>
          <w:color w:val="000000"/>
          <w:szCs w:val="21"/>
          <w:lang w:bidi="ar"/>
        </w:rPr>
        <w:t>8</w:t>
      </w:r>
      <w:r>
        <w:rPr>
          <w:rFonts w:ascii="Segoe UI" w:hAnsi="Segoe UI" w:eastAsia="Segoe UI" w:cs="Segoe UI"/>
          <w:color w:val="000000"/>
          <w:szCs w:val="21"/>
          <w:lang w:bidi="ar"/>
        </w:rPr>
        <w:t xml:space="preserve">] </w:t>
      </w:r>
      <w:r>
        <w:rPr>
          <w:rFonts w:hint="eastAsia" w:ascii="Segoe UI" w:hAnsi="Segoe UI" w:eastAsia="Segoe UI" w:cs="Segoe UI"/>
          <w:color w:val="000000"/>
          <w:szCs w:val="21"/>
          <w:lang w:bidi="ar"/>
        </w:rPr>
        <w:t xml:space="preserve"> NY/T 4279-2023  乳制品行业绿色工厂评价要求</w:t>
      </w:r>
    </w:p>
    <w:p w14:paraId="43D6820D">
      <w:pPr>
        <w:pStyle w:val="108"/>
        <w:numPr>
          <w:ilvl w:val="1"/>
          <w:numId w:val="0"/>
        </w:numPr>
        <w:spacing w:before="0" w:beforeLines="0" w:after="0" w:afterLines="0"/>
        <w:rPr>
          <w:rFonts w:ascii="Segoe UI" w:hAnsi="Segoe UI" w:eastAsia="Segoe UI" w:cs="Segoe UI"/>
          <w:color w:val="000000"/>
          <w:szCs w:val="21"/>
          <w:lang w:bidi="ar"/>
        </w:rPr>
      </w:pPr>
      <w:r>
        <w:rPr>
          <w:rFonts w:ascii="Segoe UI" w:hAnsi="Segoe UI" w:eastAsia="Segoe UI" w:cs="Segoe UI"/>
          <w:color w:val="000000"/>
          <w:szCs w:val="21"/>
          <w:lang w:bidi="ar"/>
        </w:rPr>
        <w:t>[1</w:t>
      </w:r>
      <w:r>
        <w:rPr>
          <w:rFonts w:hint="eastAsia" w:ascii="Segoe UI" w:hAnsi="Segoe UI" w:eastAsia="Segoe UI" w:cs="Segoe UI"/>
          <w:color w:val="000000"/>
          <w:szCs w:val="21"/>
          <w:lang w:bidi="ar"/>
        </w:rPr>
        <w:t>9</w:t>
      </w:r>
      <w:r>
        <w:rPr>
          <w:rFonts w:ascii="Segoe UI" w:hAnsi="Segoe UI" w:eastAsia="Segoe UI" w:cs="Segoe UI"/>
          <w:color w:val="000000"/>
          <w:szCs w:val="21"/>
          <w:lang w:bidi="ar"/>
        </w:rPr>
        <w:t xml:space="preserve">] </w:t>
      </w:r>
      <w:r>
        <w:rPr>
          <w:rFonts w:hint="eastAsia" w:ascii="Segoe UI" w:hAnsi="Segoe UI" w:eastAsia="Segoe UI" w:cs="Segoe UI"/>
          <w:color w:val="000000"/>
          <w:szCs w:val="21"/>
          <w:lang w:bidi="ar"/>
        </w:rPr>
        <w:t xml:space="preserve"> PAS 2050:2011  商品和服务在生命周期内的温室气体排放评价规范</w:t>
      </w:r>
    </w:p>
    <w:p w14:paraId="17480E82">
      <w:pPr>
        <w:pStyle w:val="108"/>
        <w:numPr>
          <w:ilvl w:val="1"/>
          <w:numId w:val="0"/>
        </w:numPr>
        <w:spacing w:before="0" w:beforeLines="0" w:after="0" w:afterLines="0"/>
        <w:rPr>
          <w:rFonts w:ascii="Segoe UI" w:hAnsi="Segoe UI" w:eastAsia="Segoe UI" w:cs="Segoe UI"/>
          <w:color w:val="000000"/>
          <w:szCs w:val="21"/>
          <w:lang w:bidi="ar"/>
        </w:rPr>
      </w:pPr>
      <w:r>
        <w:rPr>
          <w:rFonts w:ascii="Segoe UI" w:hAnsi="Segoe UI" w:eastAsia="Segoe UI" w:cs="Segoe UI"/>
          <w:color w:val="000000"/>
          <w:szCs w:val="21"/>
          <w:lang w:bidi="ar"/>
        </w:rPr>
        <w:t>[</w:t>
      </w:r>
      <w:r>
        <w:rPr>
          <w:rFonts w:hint="eastAsia" w:ascii="Segoe UI" w:hAnsi="Segoe UI" w:eastAsia="Segoe UI" w:cs="Segoe UI"/>
          <w:color w:val="000000"/>
          <w:szCs w:val="21"/>
          <w:lang w:bidi="ar"/>
        </w:rPr>
        <w:t>20</w:t>
      </w:r>
      <w:r>
        <w:rPr>
          <w:rFonts w:ascii="Segoe UI" w:hAnsi="Segoe UI" w:eastAsia="Segoe UI" w:cs="Segoe UI"/>
          <w:color w:val="000000"/>
          <w:szCs w:val="21"/>
          <w:lang w:bidi="ar"/>
        </w:rPr>
        <w:t xml:space="preserve">] </w:t>
      </w:r>
      <w:r>
        <w:rPr>
          <w:rFonts w:hint="eastAsia" w:ascii="Segoe UI" w:hAnsi="Segoe UI" w:eastAsia="Segoe UI" w:cs="Segoe UI"/>
          <w:color w:val="000000"/>
          <w:szCs w:val="21"/>
          <w:lang w:bidi="ar"/>
        </w:rPr>
        <w:t xml:space="preserve"> DB4403/T 284-2022  产品碳足迹评价技术规范 乳制品</w:t>
      </w:r>
    </w:p>
    <w:p w14:paraId="426151BD">
      <w:pPr>
        <w:pStyle w:val="60"/>
        <w:ind w:firstLine="420"/>
        <w:rPr>
          <w:rFonts w:ascii="Segoe UI" w:hAnsi="Segoe UI" w:eastAsia="Segoe UI" w:cs="Segoe UI"/>
          <w:color w:val="000000"/>
          <w:szCs w:val="21"/>
          <w:lang w:bidi="ar"/>
        </w:rPr>
      </w:pPr>
    </w:p>
    <w:p w14:paraId="2A89A890">
      <w:pPr>
        <w:pStyle w:val="60"/>
        <w:ind w:firstLine="420"/>
      </w:pPr>
    </w:p>
    <w:p w14:paraId="7E145B2D">
      <w:pPr>
        <w:pStyle w:val="60"/>
        <w:ind w:firstLine="420"/>
      </w:pPr>
    </w:p>
    <w:p w14:paraId="6DFAB665">
      <w:pPr>
        <w:pStyle w:val="60"/>
        <w:ind w:firstLine="420"/>
      </w:pPr>
    </w:p>
    <w:bookmarkEnd w:id="47"/>
    <w:p w14:paraId="46343402">
      <w:pPr>
        <w:pStyle w:val="60"/>
        <w:ind w:firstLine="420"/>
      </w:pPr>
    </w:p>
    <w:p w14:paraId="5BBBF92E">
      <w:pPr>
        <w:pStyle w:val="60"/>
        <w:ind w:firstLine="0" w:firstLineChars="0"/>
        <w:jc w:val="center"/>
      </w:pPr>
      <w:bookmarkStart w:id="48" w:name="BookMark8"/>
      <w:r>
        <w:rPr>
          <w:rFonts w:hint="eastAsia"/>
        </w:rPr>
        <w:drawing>
          <wp:inline distT="0" distB="0" distL="0" distR="0">
            <wp:extent cx="1485900" cy="317500"/>
            <wp:effectExtent l="0" t="0" r="0" b="6350"/>
            <wp:docPr id="209607367" name="图片 1"/>
            <wp:cNvGraphicFramePr/>
            <a:graphic xmlns:a="http://schemas.openxmlformats.org/drawingml/2006/main">
              <a:graphicData uri="http://schemas.openxmlformats.org/drawingml/2006/picture">
                <pic:pic xmlns:pic="http://schemas.openxmlformats.org/drawingml/2006/picture">
                  <pic:nvPicPr>
                    <pic:cNvPr id="209607367"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KaTeX_Mat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426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F4B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0191">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C66D">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9EFD">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1A0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2182">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B138">
    <w:pPr>
      <w:pStyle w:val="65"/>
      <w:rPr>
        <w:rFonts w:hint="eastAsia"/>
      </w:rPr>
    </w:pPr>
    <w:r>
      <w:fldChar w:fldCharType="begin"/>
    </w:r>
    <w:r>
      <w:instrText xml:space="preserve"> STYLEREF  标准文件_文件编号  \* MERGEFORMAT </w:instrText>
    </w:r>
    <w:r>
      <w:fldChar w:fldCharType="separate"/>
    </w:r>
    <w:r>
      <w:t>T/NMSP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99C4">
    <w:pPr>
      <w:pStyle w:val="19"/>
      <w:jc w:val="right"/>
    </w:pPr>
    <w:r>
      <w:fldChar w:fldCharType="begin"/>
    </w:r>
    <w:r>
      <w:instrText xml:space="preserve"> STYLEREF  标准文件_文件编号  \* MERGEFORMAT </w:instrText>
    </w:r>
    <w:r>
      <w:fldChar w:fldCharType="separate"/>
    </w:r>
    <w:r>
      <w:t>T/NMSP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1000"/>
    <w:multiLevelType w:val="singleLevel"/>
    <w:tmpl w:val="FFFE1000"/>
    <w:lvl w:ilvl="0" w:tentative="0">
      <w:start w:val="3"/>
      <w:numFmt w:val="decimal"/>
      <w:suff w:val="nothing"/>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567"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E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52A"/>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50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5D7"/>
    <w:rsid w:val="00096D63"/>
    <w:rsid w:val="000A0B60"/>
    <w:rsid w:val="000A0EB8"/>
    <w:rsid w:val="000A19FC"/>
    <w:rsid w:val="000A296B"/>
    <w:rsid w:val="000A7311"/>
    <w:rsid w:val="000B060F"/>
    <w:rsid w:val="000B1592"/>
    <w:rsid w:val="000B1FF2"/>
    <w:rsid w:val="000B3CDA"/>
    <w:rsid w:val="000B5221"/>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870"/>
    <w:rsid w:val="000F4050"/>
    <w:rsid w:val="000F4AEA"/>
    <w:rsid w:val="000F67E9"/>
    <w:rsid w:val="00104926"/>
    <w:rsid w:val="00113B1E"/>
    <w:rsid w:val="0011711C"/>
    <w:rsid w:val="0011724A"/>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DA8"/>
    <w:rsid w:val="0015635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F0A"/>
    <w:rsid w:val="001B402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36F"/>
    <w:rsid w:val="001F2508"/>
    <w:rsid w:val="001F3CAA"/>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64A"/>
    <w:rsid w:val="00221B79"/>
    <w:rsid w:val="00221C6B"/>
    <w:rsid w:val="002253A1"/>
    <w:rsid w:val="00225CF8"/>
    <w:rsid w:val="0022794E"/>
    <w:rsid w:val="00233D64"/>
    <w:rsid w:val="0023482A"/>
    <w:rsid w:val="002359CB"/>
    <w:rsid w:val="00237A69"/>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4EF4"/>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7E3"/>
    <w:rsid w:val="002E6326"/>
    <w:rsid w:val="002F30E0"/>
    <w:rsid w:val="002F35E4"/>
    <w:rsid w:val="002F3730"/>
    <w:rsid w:val="002F38E1"/>
    <w:rsid w:val="002F5A7E"/>
    <w:rsid w:val="002F7AF6"/>
    <w:rsid w:val="00300E63"/>
    <w:rsid w:val="00302F5F"/>
    <w:rsid w:val="0030441D"/>
    <w:rsid w:val="00305563"/>
    <w:rsid w:val="00306063"/>
    <w:rsid w:val="00313B85"/>
    <w:rsid w:val="00317988"/>
    <w:rsid w:val="003221B4"/>
    <w:rsid w:val="0032258D"/>
    <w:rsid w:val="00322E62"/>
    <w:rsid w:val="00324D13"/>
    <w:rsid w:val="00324EDD"/>
    <w:rsid w:val="003331E4"/>
    <w:rsid w:val="0033460D"/>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0EB3"/>
    <w:rsid w:val="003E1C53"/>
    <w:rsid w:val="003E1CEA"/>
    <w:rsid w:val="003E29D5"/>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1F7"/>
    <w:rsid w:val="00432DAA"/>
    <w:rsid w:val="00434305"/>
    <w:rsid w:val="00435DF7"/>
    <w:rsid w:val="0043741A"/>
    <w:rsid w:val="0044083F"/>
    <w:rsid w:val="00441AE7"/>
    <w:rsid w:val="00445574"/>
    <w:rsid w:val="004467FB"/>
    <w:rsid w:val="00452D6B"/>
    <w:rsid w:val="00454484"/>
    <w:rsid w:val="0045517B"/>
    <w:rsid w:val="004560BA"/>
    <w:rsid w:val="00463B77"/>
    <w:rsid w:val="00463C7B"/>
    <w:rsid w:val="004644A6"/>
    <w:rsid w:val="004659BD"/>
    <w:rsid w:val="00470775"/>
    <w:rsid w:val="004746B1"/>
    <w:rsid w:val="0047583F"/>
    <w:rsid w:val="00475DE8"/>
    <w:rsid w:val="00481C44"/>
    <w:rsid w:val="004836D6"/>
    <w:rsid w:val="00484936"/>
    <w:rsid w:val="00485C89"/>
    <w:rsid w:val="00486BE3"/>
    <w:rsid w:val="004905E4"/>
    <w:rsid w:val="00490A89"/>
    <w:rsid w:val="00490AB4"/>
    <w:rsid w:val="00492F02"/>
    <w:rsid w:val="004939AE"/>
    <w:rsid w:val="004A09FE"/>
    <w:rsid w:val="004A12DF"/>
    <w:rsid w:val="004A1BA8"/>
    <w:rsid w:val="004A4B57"/>
    <w:rsid w:val="004A63FA"/>
    <w:rsid w:val="004A6A3D"/>
    <w:rsid w:val="004B0272"/>
    <w:rsid w:val="004B2701"/>
    <w:rsid w:val="004B2E1B"/>
    <w:rsid w:val="004B3AA8"/>
    <w:rsid w:val="004B3E93"/>
    <w:rsid w:val="004C0510"/>
    <w:rsid w:val="004C17B3"/>
    <w:rsid w:val="004C1FBC"/>
    <w:rsid w:val="004C25A2"/>
    <w:rsid w:val="004C3F1D"/>
    <w:rsid w:val="004C458D"/>
    <w:rsid w:val="004C5EDA"/>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E1D"/>
    <w:rsid w:val="00573D9E"/>
    <w:rsid w:val="005763A2"/>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3C7"/>
    <w:rsid w:val="005E34CA"/>
    <w:rsid w:val="005E3C18"/>
    <w:rsid w:val="005E4250"/>
    <w:rsid w:val="005E6812"/>
    <w:rsid w:val="005E7881"/>
    <w:rsid w:val="005E78E0"/>
    <w:rsid w:val="005F0763"/>
    <w:rsid w:val="005F0D9C"/>
    <w:rsid w:val="005F284E"/>
    <w:rsid w:val="006015CE"/>
    <w:rsid w:val="00604784"/>
    <w:rsid w:val="00606419"/>
    <w:rsid w:val="00607D29"/>
    <w:rsid w:val="00612952"/>
    <w:rsid w:val="006148DD"/>
    <w:rsid w:val="00614CC1"/>
    <w:rsid w:val="00614E23"/>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36D"/>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C6F"/>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3B7"/>
    <w:rsid w:val="00707669"/>
    <w:rsid w:val="0070767F"/>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4B4"/>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54A"/>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CCD"/>
    <w:rsid w:val="008928C9"/>
    <w:rsid w:val="008930CB"/>
    <w:rsid w:val="008938DC"/>
    <w:rsid w:val="00893FD1"/>
    <w:rsid w:val="00894836"/>
    <w:rsid w:val="00895172"/>
    <w:rsid w:val="00895680"/>
    <w:rsid w:val="00896DFF"/>
    <w:rsid w:val="0089762C"/>
    <w:rsid w:val="008A093C"/>
    <w:rsid w:val="008A173B"/>
    <w:rsid w:val="008A1893"/>
    <w:rsid w:val="008A57E6"/>
    <w:rsid w:val="008A6F81"/>
    <w:rsid w:val="008A769A"/>
    <w:rsid w:val="008B0C9C"/>
    <w:rsid w:val="008B166D"/>
    <w:rsid w:val="008B17F4"/>
    <w:rsid w:val="008B3615"/>
    <w:rsid w:val="008B4AC4"/>
    <w:rsid w:val="008B50C8"/>
    <w:rsid w:val="008B5281"/>
    <w:rsid w:val="008B63A6"/>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E70"/>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18D"/>
    <w:rsid w:val="00A12124"/>
    <w:rsid w:val="00A129D0"/>
    <w:rsid w:val="00A12C33"/>
    <w:rsid w:val="00A138BA"/>
    <w:rsid w:val="00A14C8E"/>
    <w:rsid w:val="00A153D9"/>
    <w:rsid w:val="00A15F09"/>
    <w:rsid w:val="00A169B6"/>
    <w:rsid w:val="00A2271D"/>
    <w:rsid w:val="00A237D5"/>
    <w:rsid w:val="00A240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665"/>
    <w:rsid w:val="00A77CCB"/>
    <w:rsid w:val="00A83D8D"/>
    <w:rsid w:val="00A8446B"/>
    <w:rsid w:val="00A8473F"/>
    <w:rsid w:val="00A862D6"/>
    <w:rsid w:val="00A8715E"/>
    <w:rsid w:val="00A9295B"/>
    <w:rsid w:val="00A92967"/>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630"/>
    <w:rsid w:val="00AD0AEF"/>
    <w:rsid w:val="00AD11B7"/>
    <w:rsid w:val="00AD1A94"/>
    <w:rsid w:val="00AD1C05"/>
    <w:rsid w:val="00AD4126"/>
    <w:rsid w:val="00AD421C"/>
    <w:rsid w:val="00AD44FA"/>
    <w:rsid w:val="00AE070A"/>
    <w:rsid w:val="00AE101C"/>
    <w:rsid w:val="00AE2A69"/>
    <w:rsid w:val="00AE37E5"/>
    <w:rsid w:val="00AE5EB4"/>
    <w:rsid w:val="00AF0C18"/>
    <w:rsid w:val="00AF1909"/>
    <w:rsid w:val="00AF47C5"/>
    <w:rsid w:val="00AF5398"/>
    <w:rsid w:val="00B049AF"/>
    <w:rsid w:val="00B07242"/>
    <w:rsid w:val="00B10534"/>
    <w:rsid w:val="00B113DB"/>
    <w:rsid w:val="00B11D03"/>
    <w:rsid w:val="00B11D8A"/>
    <w:rsid w:val="00B12981"/>
    <w:rsid w:val="00B147DD"/>
    <w:rsid w:val="00B156FD"/>
    <w:rsid w:val="00B1794B"/>
    <w:rsid w:val="00B21F61"/>
    <w:rsid w:val="00B261F1"/>
    <w:rsid w:val="00B265BC"/>
    <w:rsid w:val="00B27966"/>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E7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028"/>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DE3"/>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A40"/>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EEC"/>
    <w:rsid w:val="00FA1602"/>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883C21"/>
    <w:rsid w:val="09C14E84"/>
    <w:rsid w:val="57E2110F"/>
    <w:rsid w:val="6C39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spacing w:beforeAutospacing="1"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568"/>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font51"/>
    <w:basedOn w:val="31"/>
    <w:qFormat/>
    <w:uiPriority w:val="0"/>
    <w:rPr>
      <w:rFonts w:hint="default" w:ascii="Times New Roman" w:hAnsi="Times New Roman" w:cs="Times New Roman"/>
      <w:color w:val="000000"/>
      <w:sz w:val="1"/>
      <w:szCs w:val="1"/>
      <w:u w:val="none"/>
    </w:rPr>
  </w:style>
  <w:style w:type="character" w:customStyle="1" w:styleId="235">
    <w:name w:val="批注文字 字符"/>
    <w:basedOn w:val="31"/>
    <w:link w:val="13"/>
    <w:semiHidden/>
    <w:qFormat/>
    <w:uiPriority w:val="99"/>
    <w:rPr>
      <w:kern w:val="2"/>
      <w:sz w:val="21"/>
      <w:szCs w:val="21"/>
    </w:rPr>
  </w:style>
  <w:style w:type="character" w:customStyle="1" w:styleId="236">
    <w:name w:val="批注主题 字符"/>
    <w:basedOn w:val="235"/>
    <w:link w:val="28"/>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emf"/><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B95B84C3C349649CFC8E80EE837D7E"/>
        <w:style w:val=""/>
        <w:category>
          <w:name w:val="常规"/>
          <w:gallery w:val="placeholder"/>
        </w:category>
        <w:types>
          <w:type w:val="bbPlcHdr"/>
        </w:types>
        <w:behaviors>
          <w:behavior w:val="content"/>
        </w:behaviors>
        <w:description w:val=""/>
        <w:guid w:val="{E8D53D11-E82B-4BBD-A512-0A6ED1DE490E}"/>
      </w:docPartPr>
      <w:docPartBody>
        <w:p w14:paraId="706C2877">
          <w:pPr>
            <w:pStyle w:val="5"/>
            <w:rPr>
              <w:rFonts w:hint="eastAsia"/>
            </w:rPr>
          </w:pPr>
          <w:r>
            <w:rPr>
              <w:rStyle w:val="4"/>
              <w:rFonts w:hint="eastAsia"/>
            </w:rPr>
            <w:t>单击或点击此处输入文字。</w:t>
          </w:r>
        </w:p>
      </w:docPartBody>
    </w:docPart>
    <w:docPart>
      <w:docPartPr>
        <w:name w:val="3A65B70831274019991C0A1D4F5069CF"/>
        <w:style w:val=""/>
        <w:category>
          <w:name w:val="常规"/>
          <w:gallery w:val="placeholder"/>
        </w:category>
        <w:types>
          <w:type w:val="bbPlcHdr"/>
        </w:types>
        <w:behaviors>
          <w:behavior w:val="content"/>
        </w:behaviors>
        <w:description w:val=""/>
        <w:guid w:val="{F9DC5D47-4E0E-4C59-BEE1-2D656B12B6DC}"/>
      </w:docPartPr>
      <w:docPartBody>
        <w:p w14:paraId="7454FC69">
          <w:pPr>
            <w:pStyle w:val="6"/>
            <w:rPr>
              <w:rFonts w:hint="eastAsia"/>
            </w:rPr>
          </w:pPr>
          <w:r>
            <w:rPr>
              <w:rStyle w:val="4"/>
              <w:rFonts w:hint="eastAsia"/>
            </w:rPr>
            <w:t>选择一项。</w:t>
          </w:r>
        </w:p>
      </w:docPartBody>
    </w:docPart>
    <w:docPart>
      <w:docPartPr>
        <w:name w:val="58761ECAE7374932A7B18CEA3827C281"/>
        <w:style w:val=""/>
        <w:category>
          <w:name w:val="常规"/>
          <w:gallery w:val="placeholder"/>
        </w:category>
        <w:types>
          <w:type w:val="bbPlcHdr"/>
        </w:types>
        <w:behaviors>
          <w:behavior w:val="content"/>
        </w:behaviors>
        <w:description w:val=""/>
        <w:guid w:val="{C030F50B-1C7E-46F9-85D4-D66CFF1DDB2D}"/>
      </w:docPartPr>
      <w:docPartBody>
        <w:p w14:paraId="1CF5F0C9">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B9"/>
    <w:rsid w:val="00237A69"/>
    <w:rsid w:val="00276D0D"/>
    <w:rsid w:val="00335C90"/>
    <w:rsid w:val="00503C62"/>
    <w:rsid w:val="00805075"/>
    <w:rsid w:val="00825218"/>
    <w:rsid w:val="00952700"/>
    <w:rsid w:val="00A12124"/>
    <w:rsid w:val="00AC4B91"/>
    <w:rsid w:val="00E51717"/>
    <w:rsid w:val="00F6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BB95B84C3C349649CFC8E80EE837D7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A65B70831274019991C0A1D4F5069C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8761ECAE7374932A7B18CEA3827C28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18</Pages>
  <Words>9981</Words>
  <Characters>12265</Characters>
  <Lines>112</Lines>
  <Paragraphs>31</Paragraphs>
  <TotalTime>8</TotalTime>
  <ScaleCrop>false</ScaleCrop>
  <LinksUpToDate>false</LinksUpToDate>
  <CharactersWithSpaces>13398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2025-09-11T06:02:00Z</dcterms:created>
  <dc:creator>Administrator</dc:creator>
  <dc:description>&lt;config cover="true" show_menu="true" version="1.0.0" doctype="SDKXY"&gt;_x000d_
&lt;/config&gt;</dc:description>
  <cp:lastModifiedBy>鄂晶晶</cp:lastModifiedBy>
  <cp:lastPrinted>2025-09-09T01:30:00Z</cp:lastPrinted>
  <dcterms:modified xsi:type="dcterms:W3CDTF">2025-11-26T06:42:40Z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eyJoZGlkIjoiNGRhMDM1MDVkMjhmNTgzZWZlNDM1MjA3ODMzNWFjM2MiLCJ1c2VySWQiOiIyNDM2Mjg2MTMifQ==</vt:lpwstr>
  </property>
  <property fmtid="{D5CDD505-2E9C-101B-9397-08002B2CF9AE}" pid="15" name="KSOProductBuildVer">
    <vt:lpwstr>2052-12.1.0.21915</vt:lpwstr>
  </property>
  <property fmtid="{D5CDD505-2E9C-101B-9397-08002B2CF9AE}" pid="16" name="ICV">
    <vt:lpwstr>A4985A8145C745118CA254D16F3ADE89_13</vt:lpwstr>
  </property>
</Properties>
</file>