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20CBA">
      <w:pPr>
        <w:spacing w:before="312" w:after="156" w:line="560" w:lineRule="exact"/>
        <w:ind w:firstLine="1044" w:firstLineChars="200"/>
        <w:jc w:val="center"/>
        <w:rPr>
          <w:rFonts w:ascii="宋体" w:hAnsi="宋体" w:eastAsia="宋体" w:cs="Times New Roman"/>
          <w:b/>
          <w:sz w:val="52"/>
          <w:szCs w:val="52"/>
          <w:highlight w:val="none"/>
        </w:rPr>
      </w:pPr>
    </w:p>
    <w:p w14:paraId="248E483F">
      <w:pPr>
        <w:spacing w:before="312" w:after="156" w:line="560" w:lineRule="exact"/>
        <w:ind w:firstLine="1044" w:firstLineChars="200"/>
        <w:jc w:val="center"/>
        <w:rPr>
          <w:rFonts w:ascii="宋体" w:hAnsi="宋体" w:eastAsia="宋体" w:cs="Times New Roman"/>
          <w:b/>
          <w:sz w:val="52"/>
          <w:szCs w:val="52"/>
          <w:highlight w:val="none"/>
        </w:rPr>
      </w:pPr>
    </w:p>
    <w:p w14:paraId="2B42ED16">
      <w:pPr>
        <w:spacing w:before="312" w:after="156" w:line="560" w:lineRule="exact"/>
        <w:ind w:firstLine="1044" w:firstLineChars="200"/>
        <w:jc w:val="center"/>
        <w:rPr>
          <w:rFonts w:ascii="宋体" w:hAnsi="宋体" w:eastAsia="宋体" w:cs="Times New Roman"/>
          <w:b/>
          <w:sz w:val="52"/>
          <w:szCs w:val="52"/>
          <w:highlight w:val="none"/>
        </w:rPr>
      </w:pPr>
    </w:p>
    <w:p w14:paraId="72D251AE">
      <w:pPr>
        <w:spacing w:line="360" w:lineRule="auto"/>
        <w:jc w:val="center"/>
        <w:rPr>
          <w:rFonts w:hint="default" w:ascii="方正小标宋简体" w:hAnsi="华文中宋" w:eastAsia="方正小标宋简体" w:cs="Times New Roman"/>
          <w:sz w:val="52"/>
          <w:szCs w:val="52"/>
          <w:highlight w:val="none"/>
          <w:lang w:val="en-US" w:eastAsia="zh-CN"/>
        </w:rPr>
      </w:pPr>
      <w:r>
        <w:rPr>
          <w:rFonts w:hint="eastAsia" w:ascii="方正小标宋简体" w:hAnsi="华文中宋" w:eastAsia="方正小标宋简体" w:cs="Times New Roman"/>
          <w:sz w:val="52"/>
          <w:szCs w:val="52"/>
          <w:highlight w:val="none"/>
        </w:rPr>
        <w:t>内蒙古</w:t>
      </w:r>
      <w:r>
        <w:rPr>
          <w:rFonts w:hint="eastAsia" w:ascii="方正小标宋简体" w:hAnsi="华文中宋" w:eastAsia="方正小标宋简体" w:cs="Times New Roman"/>
          <w:sz w:val="52"/>
          <w:szCs w:val="52"/>
          <w:highlight w:val="none"/>
          <w:lang w:val="en-US" w:eastAsia="zh-CN"/>
        </w:rPr>
        <w:t>标准发展促进会团体标准</w:t>
      </w:r>
    </w:p>
    <w:p w14:paraId="039943C2">
      <w:pPr>
        <w:spacing w:line="360" w:lineRule="auto"/>
        <w:jc w:val="center"/>
        <w:rPr>
          <w:rFonts w:hint="eastAsia" w:ascii="方正小标宋简体" w:hAnsi="华文中宋" w:eastAsia="方正小标宋简体" w:cs="Times New Roman"/>
          <w:sz w:val="52"/>
          <w:szCs w:val="52"/>
          <w:highlight w:val="none"/>
        </w:rPr>
      </w:pPr>
      <w:r>
        <w:rPr>
          <w:rFonts w:hint="eastAsia" w:ascii="方正小标宋简体" w:hAnsi="华文中宋" w:eastAsia="方正小标宋简体" w:cs="Times New Roman"/>
          <w:sz w:val="52"/>
          <w:szCs w:val="52"/>
          <w:highlight w:val="none"/>
        </w:rPr>
        <w:t>液态乳生产加工碳水双足迹</w:t>
      </w:r>
    </w:p>
    <w:p w14:paraId="60C37D03">
      <w:pPr>
        <w:spacing w:line="360" w:lineRule="auto"/>
        <w:jc w:val="center"/>
        <w:rPr>
          <w:rFonts w:ascii="方正小标宋简体" w:hAnsi="华文中宋" w:eastAsia="方正小标宋简体" w:cs="Times New Roman"/>
          <w:sz w:val="52"/>
          <w:szCs w:val="52"/>
          <w:highlight w:val="none"/>
        </w:rPr>
      </w:pPr>
      <w:r>
        <w:rPr>
          <w:rFonts w:hint="eastAsia" w:ascii="方正小标宋简体" w:hAnsi="华文中宋" w:eastAsia="方正小标宋简体" w:cs="Times New Roman"/>
          <w:sz w:val="52"/>
          <w:szCs w:val="52"/>
          <w:highlight w:val="none"/>
        </w:rPr>
        <w:t>评价技术规范</w:t>
      </w:r>
    </w:p>
    <w:p w14:paraId="48700BB4">
      <w:pPr>
        <w:spacing w:line="360" w:lineRule="auto"/>
        <w:jc w:val="center"/>
        <w:rPr>
          <w:rFonts w:ascii="方正小标宋简体" w:hAnsi="华文中宋" w:eastAsia="方正小标宋简体" w:cs="Times New Roman"/>
          <w:sz w:val="52"/>
          <w:szCs w:val="52"/>
          <w:highlight w:val="none"/>
        </w:rPr>
      </w:pPr>
      <w:r>
        <w:rPr>
          <w:rFonts w:hint="eastAsia" w:ascii="方正小标宋简体" w:hAnsi="华文中宋" w:eastAsia="方正小标宋简体" w:cs="Times New Roman"/>
          <w:sz w:val="52"/>
          <w:szCs w:val="52"/>
          <w:highlight w:val="none"/>
        </w:rPr>
        <w:t>（</w:t>
      </w:r>
      <w:r>
        <w:rPr>
          <w:rFonts w:hint="eastAsia" w:ascii="方正小标宋简体" w:hAnsi="华文中宋" w:eastAsia="方正小标宋简体" w:cs="Times New Roman"/>
          <w:sz w:val="52"/>
          <w:szCs w:val="52"/>
          <w:highlight w:val="none"/>
          <w:lang w:val="en-US" w:eastAsia="zh-CN"/>
        </w:rPr>
        <w:t>征求意见稿</w:t>
      </w:r>
      <w:r>
        <w:rPr>
          <w:rFonts w:hint="eastAsia" w:ascii="方正小标宋简体" w:hAnsi="华文中宋" w:eastAsia="方正小标宋简体" w:cs="Times New Roman"/>
          <w:sz w:val="52"/>
          <w:szCs w:val="52"/>
          <w:highlight w:val="none"/>
        </w:rPr>
        <w:t>）</w:t>
      </w:r>
    </w:p>
    <w:p w14:paraId="7B9D6C98">
      <w:pPr>
        <w:spacing w:before="312" w:after="156" w:line="560" w:lineRule="exact"/>
        <w:ind w:left="-743" w:leftChars="-354" w:right="-594" w:rightChars="-283"/>
        <w:jc w:val="center"/>
        <w:outlineLvl w:val="0"/>
        <w:rPr>
          <w:rFonts w:ascii="方正小标宋简体" w:hAnsi="华文中宋" w:eastAsia="方正小标宋简体" w:cs="Times New Roman"/>
          <w:sz w:val="52"/>
          <w:szCs w:val="52"/>
          <w:highlight w:val="none"/>
        </w:rPr>
      </w:pPr>
      <w:r>
        <w:rPr>
          <w:rFonts w:hint="eastAsia" w:ascii="方正小标宋简体" w:hAnsi="华文中宋" w:eastAsia="方正小标宋简体" w:cs="Times New Roman"/>
          <w:sz w:val="52"/>
          <w:szCs w:val="52"/>
          <w:highlight w:val="none"/>
        </w:rPr>
        <w:t>编 制 说 明</w:t>
      </w:r>
    </w:p>
    <w:p w14:paraId="03E8E195">
      <w:pPr>
        <w:spacing w:before="312" w:after="156" w:line="560" w:lineRule="exact"/>
        <w:ind w:firstLine="1044" w:firstLineChars="200"/>
        <w:jc w:val="center"/>
        <w:rPr>
          <w:rFonts w:ascii="宋体" w:hAnsi="宋体" w:eastAsia="宋体" w:cs="Times New Roman"/>
          <w:b/>
          <w:sz w:val="52"/>
          <w:szCs w:val="52"/>
          <w:highlight w:val="none"/>
        </w:rPr>
      </w:pPr>
    </w:p>
    <w:p w14:paraId="2DD68449">
      <w:pPr>
        <w:spacing w:before="312" w:after="156" w:line="560" w:lineRule="exact"/>
        <w:ind w:firstLine="1044" w:firstLineChars="200"/>
        <w:jc w:val="center"/>
        <w:rPr>
          <w:rFonts w:ascii="宋体" w:hAnsi="宋体" w:eastAsia="宋体" w:cs="Times New Roman"/>
          <w:b/>
          <w:sz w:val="52"/>
          <w:szCs w:val="52"/>
          <w:highlight w:val="none"/>
        </w:rPr>
      </w:pPr>
    </w:p>
    <w:p w14:paraId="4FDEC5D5">
      <w:pPr>
        <w:spacing w:before="312" w:after="156" w:line="560" w:lineRule="exact"/>
        <w:rPr>
          <w:rFonts w:ascii="黑体" w:hAnsi="黑体" w:eastAsia="黑体" w:cs="Times New Roman"/>
          <w:sz w:val="36"/>
          <w:szCs w:val="36"/>
          <w:highlight w:val="none"/>
        </w:rPr>
      </w:pPr>
    </w:p>
    <w:p w14:paraId="112CDAE5">
      <w:pPr>
        <w:spacing w:before="312" w:after="156" w:line="560" w:lineRule="exact"/>
        <w:jc w:val="center"/>
        <w:rPr>
          <w:rFonts w:ascii="黑体" w:hAnsi="黑体" w:eastAsia="黑体" w:cs="Times New Roman"/>
          <w:sz w:val="36"/>
          <w:szCs w:val="36"/>
          <w:highlight w:val="none"/>
        </w:rPr>
      </w:pPr>
      <w:r>
        <w:rPr>
          <w:rFonts w:hint="eastAsia" w:ascii="黑体" w:hAnsi="黑体" w:eastAsia="黑体" w:cs="Times New Roman"/>
          <w:sz w:val="36"/>
          <w:szCs w:val="36"/>
          <w:highlight w:val="none"/>
        </w:rPr>
        <w:t>标准起草组</w:t>
      </w:r>
    </w:p>
    <w:p w14:paraId="45C0DF94">
      <w:pPr>
        <w:spacing w:before="312" w:after="156" w:line="560" w:lineRule="exact"/>
        <w:jc w:val="center"/>
        <w:rPr>
          <w:rFonts w:ascii="黑体" w:hAnsi="黑体" w:eastAsia="黑体" w:cs="Times New Roman"/>
          <w:sz w:val="36"/>
          <w:szCs w:val="36"/>
          <w:highlight w:val="none"/>
        </w:rPr>
      </w:pPr>
      <w:r>
        <w:rPr>
          <w:rFonts w:hint="eastAsia" w:ascii="黑体" w:hAnsi="黑体" w:eastAsia="黑体" w:cs="Times New Roman"/>
          <w:sz w:val="36"/>
          <w:szCs w:val="36"/>
          <w:highlight w:val="none"/>
        </w:rPr>
        <w:t>二零二</w:t>
      </w:r>
      <w:r>
        <w:rPr>
          <w:rFonts w:hint="eastAsia" w:ascii="黑体" w:hAnsi="黑体" w:eastAsia="黑体" w:cs="Times New Roman"/>
          <w:sz w:val="36"/>
          <w:szCs w:val="36"/>
          <w:highlight w:val="none"/>
          <w:lang w:val="en-US" w:eastAsia="zh-CN"/>
        </w:rPr>
        <w:t>五</w:t>
      </w:r>
      <w:r>
        <w:rPr>
          <w:rFonts w:hint="eastAsia" w:ascii="黑体" w:hAnsi="黑体" w:eastAsia="黑体" w:cs="Times New Roman"/>
          <w:sz w:val="36"/>
          <w:szCs w:val="36"/>
          <w:highlight w:val="none"/>
        </w:rPr>
        <w:t>年</w:t>
      </w:r>
      <w:r>
        <w:rPr>
          <w:rFonts w:hint="eastAsia" w:ascii="黑体" w:hAnsi="黑体" w:eastAsia="黑体" w:cs="Times New Roman"/>
          <w:sz w:val="36"/>
          <w:szCs w:val="36"/>
          <w:highlight w:val="none"/>
          <w:lang w:val="en-US" w:eastAsia="zh-CN"/>
        </w:rPr>
        <w:t>十一</w:t>
      </w:r>
      <w:r>
        <w:rPr>
          <w:rFonts w:hint="eastAsia" w:ascii="黑体" w:hAnsi="黑体" w:eastAsia="黑体" w:cs="Times New Roman"/>
          <w:sz w:val="36"/>
          <w:szCs w:val="36"/>
          <w:highlight w:val="none"/>
        </w:rPr>
        <w:t>月</w:t>
      </w:r>
    </w:p>
    <w:p w14:paraId="7C03A7F9">
      <w:pPr>
        <w:spacing w:before="312" w:after="156" w:line="560" w:lineRule="exact"/>
        <w:jc w:val="center"/>
        <w:rPr>
          <w:rFonts w:ascii="黑体" w:hAnsi="黑体" w:eastAsia="黑体" w:cs="Times New Roman"/>
          <w:sz w:val="36"/>
          <w:szCs w:val="36"/>
          <w:highlight w:val="none"/>
        </w:rPr>
      </w:pPr>
    </w:p>
    <w:p w14:paraId="6D18B724">
      <w:pPr>
        <w:spacing w:before="312" w:after="156" w:line="560" w:lineRule="exact"/>
        <w:jc w:val="center"/>
        <w:rPr>
          <w:rFonts w:ascii="黑体" w:hAnsi="黑体" w:eastAsia="黑体" w:cs="Times New Roman"/>
          <w:sz w:val="36"/>
          <w:szCs w:val="36"/>
          <w:highlight w:val="none"/>
        </w:rPr>
      </w:pPr>
    </w:p>
    <w:p w14:paraId="666028C9">
      <w:pPr>
        <w:keepNext/>
        <w:keepLines/>
        <w:pageBreakBefore w:val="0"/>
        <w:kinsoku/>
        <w:wordWrap/>
        <w:overflowPunct/>
        <w:topLinePunct w:val="0"/>
        <w:bidi w:val="0"/>
        <w:adjustRightInd/>
        <w:snapToGrid/>
        <w:spacing w:line="560" w:lineRule="exact"/>
        <w:ind w:firstLine="640" w:firstLineChars="200"/>
        <w:jc w:val="left"/>
        <w:textAlignment w:val="auto"/>
        <w:outlineLvl w:val="0"/>
        <w:rPr>
          <w:rFonts w:ascii="仿宋_GB2312" w:hAnsi="Times New Roman" w:eastAsia="黑体" w:cs="Times New Roman"/>
          <w:bCs/>
          <w:kern w:val="44"/>
          <w:sz w:val="32"/>
          <w:szCs w:val="44"/>
          <w:highlight w:val="none"/>
        </w:rPr>
      </w:pPr>
      <w:r>
        <w:rPr>
          <w:rFonts w:hint="eastAsia" w:ascii="仿宋_GB2312" w:hAnsi="Times New Roman" w:eastAsia="黑体" w:cs="Times New Roman"/>
          <w:bCs/>
          <w:kern w:val="44"/>
          <w:sz w:val="32"/>
          <w:szCs w:val="44"/>
          <w:highlight w:val="none"/>
        </w:rPr>
        <w:t>一、工作简况</w:t>
      </w:r>
    </w:p>
    <w:p w14:paraId="1E7FC3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（一）项目来源</w:t>
      </w:r>
    </w:p>
    <w:p w14:paraId="3A6FA6B5">
      <w:pPr>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 xml:space="preserve"> 本项目立足于服务国家生态文明建设与绿色低碳发展重大战略，是深入贯彻习近平总书记关于“碳达峰、碳中和”系列重要指示精神和党中央、国务院《关于完整准确全面贯彻新发展理念做好碳达峰碳中和工作的意见》的具体实践。当前，我国乳业正处于高质量发展转型关键期，面对全球气候变化挑战和国内“双碳”目标要求，亟需建立科学规范的碳足迹管理体系。本项目积极响应《“十四五”循环经济发展规划》《“十四五”节能减排综合工作方案》等国家顶层设计，紧扣乳业全产业链绿色低碳转型需求，通过开展液态乳碳水双足迹评价技术规范研制，为行业提供标准化技术支撑。</w:t>
      </w:r>
    </w:p>
    <w:p w14:paraId="44E886F4">
      <w:pPr>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本项目源自国家乳业技术创新中心2024年度重大科技项目"基于人工智能的碳水双足迹一体化管理平台"（项目编号：2024-FWPT-004）。该项目被列为国家乳业技术创新中心重点支持项目，旨在突破乳业碳足迹管理的技术瓶颈，构建具有国际水平的乳业碳足迹核算体系。其中“液态乳生产的碳水足迹评估规范研制”课题作为项目的核心组成部分，承担着建立行业技术标准的重要使命，对于完善我国乳业环境管理标准体系、提升乳制品国际竞争力具有战略意义。</w:t>
      </w:r>
    </w:p>
    <w:p w14:paraId="50FD1D1A">
      <w:pPr>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课题立项紧密围绕《内蒙古自治区乳业振兴规划》等地方政策要求，结合内蒙古作为国家重要农畜产品生产基地的区位优势，针对乳业大省在实现绿色发展过程中面临的标准缺失问题开展技术攻关。通过研制《液态乳生产加工碳水双足迹评价技术规范》团体标准，将有效填补我国在液态乳产品碳足迹核算领域的技术标准空白，为乳制品行业落实碳减排目标提供科学依据和技术规范。</w:t>
      </w:r>
    </w:p>
    <w:p w14:paraId="3E547143">
      <w:pPr>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本标准的研制过程严格遵循《国家标准化发展纲要》提出的“建立健全碳达峰、碳中和标准”要求，注重与现有国家标准体系的有效衔接。在研究方法上创新性地融合生命周期评价（LCA）方法与人工智能技术，既体现了标准制定的科学性、先进性，又确保了标准的实用性和可操作性。通过建立统一的碳足迹核算规范，将有力推动乳业低碳技术创新，引导绿色消费，助力我国乳业在国际绿色贸易中掌握话语权。</w:t>
      </w:r>
    </w:p>
    <w:p w14:paraId="55375408">
      <w:pPr>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为深入贯彻国家碳达峰碳中和重大战略部署，落实乳业绿色低碳发展要求，2024年10月，国家乳业技术创新中心委托内蒙古农业大学牵头，联合内蒙古伊利实业集团股份有限公司和内蒙古自治区质量和标准化研究院共同开展《液态乳生产加工碳水双足迹评价技术规范》团体标准研制工作，研究期限为2024年10月至2027年6月。</w:t>
      </w:r>
    </w:p>
    <w:p w14:paraId="49E1ACEA">
      <w:pPr>
        <w:spacing w:line="560" w:lineRule="exact"/>
        <w:ind w:firstLine="640" w:firstLineChars="200"/>
        <w:jc w:val="left"/>
        <w:outlineLvl w:val="1"/>
        <w:rPr>
          <w:rFonts w:ascii="Cambria" w:hAnsi="Cambria" w:eastAsia="楷体_GB2312" w:cs="Times New Roman"/>
          <w:b/>
          <w:bCs/>
          <w:sz w:val="32"/>
          <w:szCs w:val="32"/>
          <w:highlight w:val="none"/>
        </w:rPr>
      </w:pPr>
      <w:r>
        <w:rPr>
          <w:rFonts w:hint="eastAsia" w:ascii="Cambria" w:hAnsi="Cambria" w:eastAsia="楷体_GB2312" w:cs="Times New Roman"/>
          <w:bCs/>
          <w:sz w:val="32"/>
          <w:szCs w:val="32"/>
          <w:highlight w:val="none"/>
        </w:rPr>
        <w:t>（</w:t>
      </w:r>
      <w:r>
        <w:rPr>
          <w:rFonts w:hint="eastAsia" w:ascii="Cambria" w:hAnsi="Cambria" w:eastAsia="楷体_GB2312" w:cs="Times New Roman"/>
          <w:bCs/>
          <w:sz w:val="32"/>
          <w:szCs w:val="32"/>
          <w:highlight w:val="none"/>
          <w:lang w:val="en-US" w:eastAsia="zh-CN"/>
        </w:rPr>
        <w:t>二</w:t>
      </w:r>
      <w:r>
        <w:rPr>
          <w:rFonts w:hint="eastAsia" w:ascii="Cambria" w:hAnsi="Cambria" w:eastAsia="楷体_GB2312" w:cs="Times New Roman"/>
          <w:bCs/>
          <w:sz w:val="32"/>
          <w:szCs w:val="32"/>
          <w:highlight w:val="none"/>
        </w:rPr>
        <w:t>）起草单位及主要起草人员</w:t>
      </w:r>
    </w:p>
    <w:p w14:paraId="51D9156B">
      <w:pPr>
        <w:pStyle w:val="4"/>
        <w:ind w:firstLine="640"/>
        <w:rPr>
          <w:rFonts w:ascii="仿宋_GB2312" w:eastAsia="仿宋_GB2312" w:cs="宋体"/>
          <w:sz w:val="32"/>
          <w:szCs w:val="32"/>
          <w:highlight w:val="none"/>
        </w:rPr>
      </w:pPr>
      <w:r>
        <w:rPr>
          <w:rFonts w:hint="eastAsia" w:ascii="仿宋_GB2312" w:eastAsia="仿宋_GB2312" w:cs="宋体"/>
          <w:sz w:val="32"/>
          <w:szCs w:val="32"/>
          <w:highlight w:val="none"/>
        </w:rPr>
        <w:t>起草单位：内蒙古伊利实业集团股份有限公司</w:t>
      </w:r>
      <w:r>
        <w:rPr>
          <w:rFonts w:hint="eastAsia"/>
          <w:lang w:eastAsia="zh-CN"/>
        </w:rPr>
        <w:t>、</w:t>
      </w:r>
      <w:r>
        <w:rPr>
          <w:rFonts w:hint="eastAsia" w:ascii="仿宋_GB2312" w:eastAsia="仿宋_GB2312" w:cs="宋体"/>
          <w:sz w:val="32"/>
          <w:szCs w:val="32"/>
          <w:highlight w:val="none"/>
        </w:rPr>
        <w:t>内蒙古</w:t>
      </w:r>
      <w:r>
        <w:rPr>
          <w:rFonts w:hint="eastAsia" w:ascii="仿宋_GB2312" w:eastAsia="仿宋_GB2312" w:cs="宋体"/>
          <w:sz w:val="32"/>
          <w:szCs w:val="32"/>
          <w:highlight w:val="none"/>
          <w:lang w:val="en-US" w:eastAsia="zh-CN"/>
        </w:rPr>
        <w:t>农业大学</w:t>
      </w:r>
      <w:r>
        <w:rPr>
          <w:rFonts w:hint="eastAsia" w:ascii="仿宋_GB2312" w:eastAsia="仿宋_GB2312" w:cs="宋体"/>
          <w:sz w:val="32"/>
          <w:szCs w:val="32"/>
          <w:highlight w:val="none"/>
        </w:rPr>
        <w:t>、内蒙古自治区质量和标准化研究院。</w:t>
      </w:r>
    </w:p>
    <w:p w14:paraId="39A2AF41">
      <w:pPr>
        <w:pStyle w:val="4"/>
        <w:ind w:firstLine="640"/>
        <w:rPr>
          <w:rFonts w:ascii="仿宋_GB2312" w:eastAsia="仿宋_GB2312" w:cs="宋体"/>
          <w:sz w:val="32"/>
          <w:szCs w:val="32"/>
          <w:highlight w:val="none"/>
        </w:rPr>
      </w:pPr>
      <w:r>
        <w:rPr>
          <w:rFonts w:hint="eastAsia" w:ascii="仿宋_GB2312" w:eastAsia="仿宋_GB2312" w:cs="宋体"/>
          <w:sz w:val="32"/>
          <w:szCs w:val="32"/>
          <w:highlight w:val="none"/>
        </w:rPr>
        <w:t>主要起草人：孟毅、王俊国、鄂晶晶、张悦。</w:t>
      </w:r>
    </w:p>
    <w:p w14:paraId="3FE6FBDE">
      <w:pPr>
        <w:keepNext/>
        <w:keepLines/>
        <w:spacing w:line="560" w:lineRule="exact"/>
        <w:ind w:firstLine="640" w:firstLineChars="200"/>
        <w:jc w:val="left"/>
        <w:outlineLvl w:val="0"/>
        <w:rPr>
          <w:rFonts w:ascii="仿宋_GB2312" w:hAnsi="Times New Roman" w:eastAsia="黑体" w:cs="Times New Roman"/>
          <w:bCs/>
          <w:kern w:val="44"/>
          <w:sz w:val="32"/>
          <w:szCs w:val="44"/>
          <w:highlight w:val="none"/>
        </w:rPr>
      </w:pPr>
      <w:r>
        <w:rPr>
          <w:rFonts w:hint="eastAsia" w:ascii="仿宋_GB2312" w:hAnsi="Times New Roman" w:eastAsia="黑体" w:cs="Times New Roman"/>
          <w:bCs/>
          <w:kern w:val="44"/>
          <w:sz w:val="32"/>
          <w:szCs w:val="44"/>
          <w:highlight w:val="none"/>
        </w:rPr>
        <w:t>二、标准制定的意义和必要性</w:t>
      </w:r>
    </w:p>
    <w:p w14:paraId="0F4455A6">
      <w:pPr>
        <w:keepNext/>
        <w:keepLines/>
        <w:spacing w:line="560" w:lineRule="exact"/>
        <w:ind w:firstLine="640" w:firstLineChars="200"/>
        <w:jc w:val="left"/>
        <w:outlineLvl w:val="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在全球气候变化加剧和我国“双碳”目标深入推进的大背景下，乳制品行业作为食品工业的重要组成部分，其绿色低碳转型已成为实现可持续发展的重要课题。当前，我国乳业在碳足迹管理领域面临着标准体系不完善、核算方法不统一、数据基础薄弱等多重挑战，这严重制约了行业碳减排工作的科学化和精细化水平。随着国际碳边境调节机制等政策的逐步实施，碳足迹正成为新的国际贸易壁垒，我国乳制品行业如不能及时建立与国际接轨的碳足迹核算标准体系，将在未来国际市场竞争中面临严峻挑战。</w:t>
      </w:r>
    </w:p>
    <w:p w14:paraId="12B2CE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制定《液态乳生产加工碳水双足迹评价技术规范》团体标准，是贯彻落实国家碳达峰碳中和战略部署的重要举措，也是推动乳业高质量发展的重要技术支撑。该标准将通过建立统一的液态乳产品碳足迹核算方法学，为乳制品企业开展碳核算提供科学依据，帮助企业准确识别碳排放热点环节，制定有针对性的减排措施。标准研制过程中，我们创新性地将人工智能技术与传统生命周期评价方法相结合，通过构建专业向量知识库，实现碳排放因子的智能选取和碳足迹数据的自动验证，这不仅是技术方法的重大创新，也将大幅提升碳足迹核算的效率和准确性。</w:t>
      </w:r>
    </w:p>
    <w:p w14:paraId="425333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从行业发展需求来看，该标准的制定将有效解决当前企业碳核算工作中存在的核算口径不一致、结果不可比等问题。通过明确系统边界、规范数据采集要求、统一核算方法，可以为建立行业统一的碳足迹数据库奠定坚实基础，为后续开展产品碳标签、碳信息披露等工作提供技术支撑。同时，该标准覆盖了从原料获取、生产加工到储运销售的全生命周期环节，有助于推动上下游企业协同开展碳减排工作，构建绿色低碳的乳业产业链，实现全产业链的协同降碳。</w:t>
      </w:r>
    </w:p>
    <w:p w14:paraId="6F4AB79C">
      <w:pPr>
        <w:keepNext/>
        <w:keepLines/>
        <w:spacing w:line="560" w:lineRule="exact"/>
        <w:ind w:firstLine="640" w:firstLineChars="200"/>
        <w:jc w:val="left"/>
        <w:outlineLvl w:val="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该标准的制定实施还将为政府制定行业碳减排政策提供数据支撑，为消费者选择低碳产品提供参考依据，通过引导绿色消费，形成生产端和消费端共同推动碳减排的良好局面。此外，建立公开透明的碳足迹信息，可以增强社会各界对乳制品行业碳减排工作的认知和理解，提升行业形象，为行业可持续发展创造良好环境。</w:t>
      </w:r>
    </w:p>
    <w:p w14:paraId="7F1EDA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值得一提的是，该标准研制工作与国家乳业技术创新中心“基于人工智能的碳水双足迹一体化管理平台”项目形成有效协同，将现代信息技术与传统环境管理方法深度融合，体现了标准化工作的创新性和前瞻性。通过建立这一标准，不仅能够推动乳业碳足迹管理的规范化、科学化，还将为其他食品行业开展碳足迹核算提供有益借鉴，具有重要的示范引领作用。</w:t>
      </w:r>
    </w:p>
    <w:p w14:paraId="071360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综上所述，制定《液态乳生产加工碳水双足迹评价技术规范》团体标准，既是落实国家双碳战略的迫切需要，也是推动乳业高质量发展的内在要求，对促进乳业绿色低碳转型、提升国际竞争力具有重要而深远的意义。该标准研制工作的顺利完成，将为我国乳制品行业碳减排工作提供重要技术支撑，为行业可持续发展注入新动力。</w:t>
      </w:r>
    </w:p>
    <w:p w14:paraId="7995C7F3">
      <w:pPr>
        <w:keepNext/>
        <w:keepLines/>
        <w:spacing w:line="560" w:lineRule="exact"/>
        <w:jc w:val="left"/>
        <w:outlineLvl w:val="0"/>
        <w:rPr>
          <w:rFonts w:ascii="仿宋_GB2312" w:hAnsi="Times New Roman" w:eastAsia="黑体" w:cs="Times New Roman"/>
          <w:bCs/>
          <w:kern w:val="44"/>
          <w:sz w:val="32"/>
          <w:szCs w:val="44"/>
          <w:highlight w:val="none"/>
        </w:rPr>
      </w:pPr>
      <w:r>
        <w:rPr>
          <w:rFonts w:hint="eastAsia" w:ascii="仿宋_GB2312" w:hAnsi="Times New Roman" w:eastAsia="黑体" w:cs="Times New Roman"/>
          <w:bCs/>
          <w:kern w:val="44"/>
          <w:sz w:val="32"/>
          <w:szCs w:val="44"/>
          <w:highlight w:val="none"/>
        </w:rPr>
        <w:t>三、编制过程</w:t>
      </w:r>
    </w:p>
    <w:p w14:paraId="1289E6AF">
      <w:pPr>
        <w:spacing w:line="560" w:lineRule="exact"/>
        <w:ind w:firstLine="640" w:firstLineChars="200"/>
        <w:jc w:val="left"/>
        <w:outlineLvl w:val="1"/>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（一）前期研究</w:t>
      </w:r>
    </w:p>
    <w:p w14:paraId="399090E7">
      <w:pPr>
        <w:spacing w:line="560" w:lineRule="exact"/>
        <w:ind w:firstLine="640" w:firstLineChars="200"/>
        <w:jc w:val="left"/>
        <w:outlineLvl w:val="1"/>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液态乳生产加工过程中的碳足迹和水足迹管理是推动乳业绿色低碳发展的关键技术环节。在国家</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双碳</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战略背景下，乳制品行业面临着碳减排的迫切任务，然而当前我国在液态乳碳水足迹核算领域尚缺乏统一的技术规范。2018年《中共中央国务院关于全面加强生态环境保护坚决打好污染防治攻坚战的意见》明确提出要构建绿色低碳循环发展的经济体系，2021年《国务院关于印发2030年前碳达峰行动方案的通知》进一步要求建立健全碳达峰碳中和标准计量体系，这些政策文件为本标准的研制提供了重要的政策依据。</w:t>
      </w:r>
    </w:p>
    <w:p w14:paraId="1582D026">
      <w:pPr>
        <w:spacing w:line="560" w:lineRule="exact"/>
        <w:ind w:firstLine="640" w:firstLineChars="200"/>
        <w:jc w:val="left"/>
        <w:outlineLvl w:val="1"/>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通过对国内外乳制品碳足迹标准现状的调研发现，虽然ISO 14067、PAS 2050等国际标准为产品碳足迹核算提供了基本框架，但在具体适用于我国液态乳生产实际时仍存在明显不足。特别是在奶牛养殖环节的甲烷排放核算、加工过程中的能源碳排因子选取、水资源消耗的量化方法等方面，都需要建立符合我国乳业生产特点的本土化标准。GB/T 24040系列标准虽然提供了生命周期评价的基本准则，但缺乏针对液态乳产品的具体实施细则。</w:t>
      </w:r>
    </w:p>
    <w:p w14:paraId="46B524B7">
      <w:pPr>
        <w:spacing w:line="560" w:lineRule="exact"/>
        <w:ind w:firstLine="640" w:firstLineChars="200"/>
        <w:jc w:val="left"/>
        <w:outlineLvl w:val="1"/>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我区作为国家重要的乳业生产基地，在推动乳业绿色发展方面具有独特的区位优势和产业基础。然而在实地调研中发现，由于缺乏统一的碳水足迹核算标准，不同企业在数据采集范围、核算方法选择上存在较大差异，导致核算结果缺乏可比性，也难以有效指导减排实践。这种标准缺失的状况不仅制约了企业碳减排工作的深入开展，也影响了乳制品绿色低碳属性的市场认可度。在前期研究过程中，项目组系统梳理了国内外乳业碳足迹核算的相关文献和技术报告，重点分析了奶牛养殖、饲料生产、加工工艺等关键环节的碳排放特征。同时，结合国家乳业技术创新中心项目要求，对液态乳生产全过程进行了系统边界划分，明确了从原料获取到产品出厂各阶段的碳足迹核算范围。这些基础研究工作为后续标准技术内容的确定提供了重要参考。</w:t>
      </w:r>
    </w:p>
    <w:p w14:paraId="71EBDA9D">
      <w:pPr>
        <w:spacing w:line="560" w:lineRule="exact"/>
        <w:ind w:firstLine="640" w:firstLineChars="200"/>
        <w:jc w:val="left"/>
        <w:outlineLvl w:val="1"/>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项目组还深入研究了碳足迹核算与现有质量管理体系的衔接问题，探讨了将碳足迹管理融入企业现有管理体系的可行路径。通过分析发现，建立统一的液态乳碳水足迹评价标准，不仅有助于企业准确掌握碳排放情况，还能为产品绿色设计、清洁生产提供数据支撑，这对推动乳业全产业链绿色发展具有重要意义。</w:t>
      </w:r>
    </w:p>
    <w:p w14:paraId="04BEB191">
      <w:pPr>
        <w:spacing w:line="560" w:lineRule="exact"/>
        <w:ind w:firstLine="640" w:firstLineChars="200"/>
        <w:jc w:val="left"/>
        <w:outlineLvl w:val="1"/>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（二）成立标准起草组</w:t>
      </w:r>
    </w:p>
    <w:p w14:paraId="69AF3CE1">
      <w:pPr>
        <w:spacing w:line="560" w:lineRule="exact"/>
        <w:ind w:firstLine="640" w:firstLineChars="200"/>
        <w:jc w:val="left"/>
        <w:outlineLvl w:val="1"/>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6</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根据内蒙古国家乳业技术创新中心有限责任公司对标准化建设提出的工作要求，</w:t>
      </w:r>
      <w:r>
        <w:rPr>
          <w:rFonts w:hint="eastAsia" w:ascii="仿宋_GB2312" w:hAnsi="Times New Roman" w:eastAsia="仿宋_GB2312" w:cs="Times New Roman"/>
          <w:sz w:val="32"/>
          <w:szCs w:val="32"/>
          <w:highlight w:val="none"/>
        </w:rPr>
        <w:t>确立了推进标准制定工作的总体目标、重点任务及责任分工。成立了由内蒙古伊利实业集团股份有限公司</w:t>
      </w:r>
      <w:r>
        <w:rPr>
          <w:rFonts w:hint="eastAsia" w:ascii="仿宋_GB2312" w:hAnsi="Times New Roman" w:eastAsia="仿宋_GB2312" w:cs="Times New Roman"/>
          <w:sz w:val="32"/>
          <w:szCs w:val="32"/>
          <w:highlight w:val="none"/>
          <w:lang w:eastAsia="zh-CN"/>
        </w:rPr>
        <w:t>、</w:t>
      </w:r>
      <w:r>
        <w:rPr>
          <w:rFonts w:hint="eastAsia" w:ascii="仿宋_GB2312" w:eastAsia="仿宋_GB2312" w:cs="宋体"/>
          <w:sz w:val="32"/>
          <w:szCs w:val="32"/>
          <w:highlight w:val="none"/>
        </w:rPr>
        <w:t>内蒙古</w:t>
      </w:r>
      <w:r>
        <w:rPr>
          <w:rFonts w:hint="eastAsia" w:ascii="仿宋_GB2312" w:eastAsia="仿宋_GB2312" w:cs="宋体"/>
          <w:sz w:val="32"/>
          <w:szCs w:val="32"/>
          <w:highlight w:val="none"/>
          <w:lang w:val="en-US" w:eastAsia="zh-CN"/>
        </w:rPr>
        <w:t>农业大学、</w:t>
      </w:r>
      <w:r>
        <w:rPr>
          <w:rFonts w:hint="eastAsia" w:ascii="仿宋_GB2312" w:eastAsia="仿宋_GB2312" w:cs="宋体"/>
          <w:sz w:val="32"/>
          <w:szCs w:val="32"/>
          <w:highlight w:val="none"/>
        </w:rPr>
        <w:t>内蒙古自治区质量和标准化研究院</w:t>
      </w:r>
      <w:r>
        <w:rPr>
          <w:rFonts w:hint="eastAsia" w:ascii="仿宋_GB2312" w:hAnsi="Times New Roman" w:eastAsia="仿宋_GB2312" w:cs="Times New Roman"/>
          <w:sz w:val="32"/>
          <w:szCs w:val="32"/>
          <w:highlight w:val="none"/>
        </w:rPr>
        <w:t>相关工作人员组成的标准起草组。</w:t>
      </w:r>
    </w:p>
    <w:p w14:paraId="1BA560F0">
      <w:pPr>
        <w:spacing w:line="560" w:lineRule="exact"/>
        <w:ind w:firstLine="640" w:firstLineChars="200"/>
        <w:jc w:val="left"/>
        <w:outlineLvl w:val="1"/>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（三）标准立项</w:t>
      </w:r>
    </w:p>
    <w:p w14:paraId="60101DCA">
      <w:pPr>
        <w:spacing w:line="560" w:lineRule="exact"/>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2025年7月，经内蒙古标准发展促进会论证、公示，《液态乳生产加工碳水双足迹评价技术规范》团体标准成功立项。</w:t>
      </w:r>
    </w:p>
    <w:p w14:paraId="27A15769">
      <w:pPr>
        <w:spacing w:line="560" w:lineRule="exact"/>
        <w:ind w:firstLine="640" w:firstLineChars="200"/>
        <w:jc w:val="left"/>
        <w:outlineLvl w:val="1"/>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（四）研究标准框架结构</w:t>
      </w:r>
    </w:p>
    <w:p w14:paraId="6CAE41FA">
      <w:pPr>
        <w:spacing w:line="560" w:lineRule="exact"/>
        <w:ind w:firstLine="640" w:firstLineChars="200"/>
        <w:outlineLvl w:val="1"/>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标准起草组在研制《液态乳生产加工碳水双足迹评价技术规范》过程中，系统参考了ISO 14040系列、ISO 14067、PAS 2050等国际标准，以及GB/T 24040、GB/T 24044、GB/T 24067等国内生命周期评价标准，并对这些标准在乳制品行业的适用性进行了深入分析和比较。通过对文献的细致归纳，发现现有标准在液态乳这一特定产品类别的碳足迹核算中存在系统边界不明确、数据质量要求不具体、本地化排放因子缺失等问题，这为构建适合我国乳业特点的框架提供了重要依据。</w:t>
      </w:r>
    </w:p>
    <w:p w14:paraId="2F0CCBD7">
      <w:pPr>
        <w:spacing w:line="560" w:lineRule="exact"/>
        <w:ind w:firstLine="640" w:firstLineChars="200"/>
        <w:outlineLvl w:val="1"/>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在构建标准框架时，项目组主要从生命周期评价的完整性和可操作性出发，将标准内容划分为术语定义、系统边界、数据收集、核算方法、结果报告等核心模块。其中，系统边界的确立是整个框架的基础，需要清晰界定从饲料种植、奶牛养殖、原奶运输到生产加工、包装储运的全过程范围。</w:t>
      </w:r>
    </w:p>
    <w:p w14:paraId="5E98F136">
      <w:pPr>
        <w:spacing w:line="560" w:lineRule="exact"/>
        <w:ind w:firstLine="640" w:firstLineChars="200"/>
        <w:outlineLvl w:val="1"/>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在框架内容的重要性分配上，项目组着重考虑了各环节对碳足迹结果的贡献度和数据可获性。由于原料获取阶段（特别是奶牛养殖环节的甲烷排放和饲料种植）通常占液态乳碳足迹的较大比重，因此在该部分的核算方法上给予了更多篇幅和更详细的规定；生产加工阶段作为企业直接控制的环节，其能源消耗和工艺排放的核算方法也成为框架的重点内容；而包装储运环节虽然占比相对较小，但因其数据波动较大，也需要制定规范的核算规则。框架设计还特别注重实践操作性，针对乳制品企业普遍关心的数据收集难题，设计了具体的数据质量要求和替代数据选取规则。同时，为提升标准的实用性，框架中融入了水足迹评价内容，实现碳足迹与水足迹的协同核算，这既符合国际发展趋势，也满足国内企业环境管理的实际需求。通过这样的框架设计，既保证了标准的技术先进性，又确保了其在企业中的落地可行性。</w:t>
      </w:r>
    </w:p>
    <w:p w14:paraId="51AB226A">
      <w:pPr>
        <w:spacing w:line="560" w:lineRule="exact"/>
        <w:ind w:firstLine="640" w:firstLineChars="200"/>
        <w:jc w:val="left"/>
        <w:outlineLvl w:val="1"/>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（五）召开研讨会，起草标准工作组讨论稿</w:t>
      </w:r>
    </w:p>
    <w:p w14:paraId="77784E72">
      <w:pPr>
        <w:spacing w:line="560" w:lineRule="exact"/>
        <w:ind w:firstLine="640" w:firstLineChars="200"/>
        <w:outlineLvl w:val="1"/>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8</w:t>
      </w:r>
      <w:r>
        <w:rPr>
          <w:rFonts w:hint="eastAsia" w:ascii="仿宋_GB2312" w:hAnsi="Times New Roman" w:eastAsia="仿宋_GB2312" w:cs="Times New Roman"/>
          <w:sz w:val="32"/>
          <w:szCs w:val="32"/>
          <w:highlight w:val="none"/>
        </w:rPr>
        <w:t>月，标准起草小组召开研讨会，对标准框架进行了探讨，确定了标准的结构和内容。标准起草小组随后研制起草了《液态乳生产加工碳水双足迹评价技术规范》（工作组讨论稿）。</w:t>
      </w:r>
    </w:p>
    <w:p w14:paraId="1BAD9331">
      <w:pPr>
        <w:spacing w:line="560" w:lineRule="exact"/>
        <w:ind w:firstLine="640" w:firstLineChars="200"/>
        <w:outlineLvl w:val="1"/>
        <w:rPr>
          <w:rFonts w:hint="eastAsia" w:ascii="仿宋_GB2312" w:hAnsi="Times New Roman" w:eastAsia="黑体" w:cs="Times New Roman"/>
          <w:bCs/>
          <w:kern w:val="44"/>
          <w:sz w:val="32"/>
          <w:szCs w:val="44"/>
          <w:highlight w:val="none"/>
        </w:rPr>
      </w:pP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w:t>
      </w:r>
      <w:r>
        <w:rPr>
          <w:rFonts w:hint="eastAsia" w:ascii="仿宋_GB2312" w:hAnsi="Times New Roman" w:eastAsia="仿宋_GB2312" w:cs="Times New Roman"/>
          <w:sz w:val="32"/>
          <w:szCs w:val="32"/>
          <w:highlight w:val="none"/>
          <w:lang w:val="en-US" w:eastAsia="zh-CN"/>
        </w:rPr>
        <w:t>9</w:t>
      </w:r>
      <w:r>
        <w:rPr>
          <w:rFonts w:hint="eastAsia"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lang w:val="en-US" w:eastAsia="zh-CN"/>
        </w:rPr>
        <w:t>13</w:t>
      </w:r>
      <w:r>
        <w:rPr>
          <w:rFonts w:hint="eastAsia" w:ascii="仿宋_GB2312" w:hAnsi="Times New Roman" w:eastAsia="仿宋_GB2312" w:cs="Times New Roman"/>
          <w:sz w:val="32"/>
          <w:szCs w:val="32"/>
          <w:highlight w:val="none"/>
        </w:rPr>
        <w:t>日，</w:t>
      </w:r>
      <w:r>
        <w:rPr>
          <w:rFonts w:hint="eastAsia" w:ascii="仿宋_GB2312" w:hAnsi="Times New Roman" w:eastAsia="仿宋_GB2312" w:cs="Times New Roman"/>
          <w:sz w:val="32"/>
          <w:szCs w:val="32"/>
          <w:highlight w:val="none"/>
          <w:lang w:val="en-US" w:eastAsia="zh-CN"/>
        </w:rPr>
        <w:t>由内蒙古农业大学和内蒙古质量和标准化研究院共同主办的“液态乳生产加工碳水双足迹评价技术规范标准草案研讨会”在内蒙古农业大学食品科学与工程学院举行</w:t>
      </w:r>
      <w:r>
        <w:rPr>
          <w:rFonts w:hint="eastAsia" w:ascii="仿宋_GB2312" w:hAnsi="Times New Roman" w:eastAsia="仿宋_GB2312" w:cs="Times New Roman"/>
          <w:sz w:val="32"/>
          <w:szCs w:val="32"/>
          <w:highlight w:val="none"/>
        </w:rPr>
        <w:t>，进一步明确了标准的结构和内容。</w:t>
      </w:r>
    </w:p>
    <w:p w14:paraId="66FD5889">
      <w:pPr>
        <w:keepNext/>
        <w:keepLines/>
        <w:spacing w:line="560" w:lineRule="exact"/>
        <w:ind w:firstLine="640" w:firstLineChars="200"/>
        <w:jc w:val="left"/>
        <w:outlineLvl w:val="0"/>
        <w:rPr>
          <w:rFonts w:ascii="仿宋_GB2312" w:hAnsi="Times New Roman" w:eastAsia="黑体" w:cs="Times New Roman"/>
          <w:bCs/>
          <w:kern w:val="44"/>
          <w:sz w:val="32"/>
          <w:szCs w:val="44"/>
          <w:highlight w:val="none"/>
        </w:rPr>
      </w:pPr>
      <w:r>
        <w:rPr>
          <w:rFonts w:hint="eastAsia" w:ascii="仿宋_GB2312" w:hAnsi="Times New Roman" w:eastAsia="黑体" w:cs="Times New Roman"/>
          <w:bCs/>
          <w:kern w:val="44"/>
          <w:sz w:val="32"/>
          <w:szCs w:val="44"/>
          <w:highlight w:val="none"/>
        </w:rPr>
        <w:t>四、标准编制原则</w:t>
      </w:r>
    </w:p>
    <w:p w14:paraId="3B91E06D">
      <w:pPr>
        <w:spacing w:line="560" w:lineRule="exact"/>
        <w:ind w:firstLine="640" w:firstLineChars="200"/>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该</w:t>
      </w:r>
      <w:r>
        <w:rPr>
          <w:rFonts w:hint="eastAsia" w:ascii="仿宋_GB2312" w:hAnsi="仿宋" w:eastAsia="仿宋_GB2312" w:cs="Times New Roman"/>
          <w:sz w:val="32"/>
          <w:szCs w:val="32"/>
          <w:highlight w:val="none"/>
          <w:lang w:val="en-US" w:eastAsia="zh-CN"/>
        </w:rPr>
        <w:t>团体</w:t>
      </w:r>
      <w:r>
        <w:rPr>
          <w:rFonts w:hint="eastAsia" w:ascii="仿宋_GB2312" w:hAnsi="仿宋" w:eastAsia="仿宋_GB2312" w:cs="Times New Roman"/>
          <w:sz w:val="32"/>
          <w:szCs w:val="32"/>
          <w:highlight w:val="none"/>
        </w:rPr>
        <w:t>标准的编写内容与格式严格按照GB/T 1.1—2020 《标准化工作导则 第1部分：标准化文件的结构和起草规则》的要求进行，主要遵循了依法性、科学性、协调性、实用性原则。</w:t>
      </w:r>
    </w:p>
    <w:p w14:paraId="3FE8131D">
      <w:pPr>
        <w:spacing w:line="560" w:lineRule="exact"/>
        <w:ind w:firstLine="640" w:firstLineChars="200"/>
        <w:jc w:val="left"/>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（一）依法性</w:t>
      </w:r>
    </w:p>
    <w:p w14:paraId="0E5230B8">
      <w:pPr>
        <w:spacing w:line="560" w:lineRule="exact"/>
        <w:ind w:firstLine="640" w:firstLineChars="200"/>
        <w:jc w:val="left"/>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本标准研制工作严格遵循国家碳达峰碳中和重大战略部署，深入贯彻落实《中共中央国务院关于完整准确全面贯彻新发展理念做好碳达峰碳中和工作的意见》《2030年前碳达峰行动方案》等政策文件精神，同时紧密结合《内蒙古自治区乳业振兴规划》等地方政策要求。在标准内容设计上，充分体现《国家标准化发展纲要》中关于建立健全碳达峰碳中和标准体系的指导意见，确保标准制定符合国家法律法规和政策导向，为乳业绿色低碳转型提供规范指引。</w:t>
      </w:r>
    </w:p>
    <w:p w14:paraId="131B0AED">
      <w:pPr>
        <w:spacing w:line="560" w:lineRule="exact"/>
        <w:ind w:firstLine="640" w:firstLineChars="200"/>
        <w:jc w:val="left"/>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（二）科学性</w:t>
      </w:r>
    </w:p>
    <w:p w14:paraId="6506D2EE">
      <w:pPr>
        <w:spacing w:line="560" w:lineRule="exact"/>
        <w:ind w:firstLine="640" w:firstLineChars="200"/>
        <w:jc w:val="left"/>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本标准基于生命周期评价（LCA）方法论，采用国际通行的碳足迹核算原则，结合液态乳生产特点，建立了科学的核算框架。在系统边界确定方面，综合考虑原料获取、生产加工、包装储运等全流程环节；在数据采集方面，制定了严谨的质量控制要求，确保数据的准确性和可比性；在核算方法方面，采用了国际公认的排放因子和计算方法，同时结合我国乳业实际进行了必要的本土化调整。标准内容经过多轮专家论证和实地验证，确保了技术路线的科学性和可靠</w:t>
      </w:r>
    </w:p>
    <w:p w14:paraId="7767364D">
      <w:pPr>
        <w:spacing w:line="560" w:lineRule="exact"/>
        <w:ind w:firstLine="640" w:firstLineChars="200"/>
        <w:jc w:val="left"/>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（三）协调性</w:t>
      </w:r>
    </w:p>
    <w:p w14:paraId="06F71A0F">
      <w:pPr>
        <w:spacing w:line="560" w:lineRule="exact"/>
        <w:ind w:firstLine="640" w:firstLineChars="200"/>
        <w:jc w:val="left"/>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本标准编制过程中充分考虑了与现有标准体系的协调统一。在纵向层面，与GB/T 24040《环境管理生命周期评价原则与框架》、GB/T 24067《温室气体产品碳足迹量化要求和指南》等国家标准保持衔接；在横向层面，参考了ISO 14067、PAS 2050等国际标准的最新进展，确保与国际接轨。同时，标准内容还注重与乳业相关的水足迹评价标准（如GB/T 33262）、能源管理体系标准等的配套协调，形成了完整的标准体系支撑。</w:t>
      </w:r>
    </w:p>
    <w:p w14:paraId="212127E6">
      <w:pPr>
        <w:spacing w:line="560" w:lineRule="exact"/>
        <w:ind w:firstLine="640" w:firstLineChars="200"/>
        <w:jc w:val="left"/>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（四）实用性</w:t>
      </w:r>
    </w:p>
    <w:p w14:paraId="248036F7">
      <w:pPr>
        <w:keepNext/>
        <w:keepLines/>
        <w:spacing w:line="560" w:lineRule="exact"/>
        <w:ind w:firstLine="640" w:firstLineChars="200"/>
        <w:jc w:val="left"/>
        <w:outlineLvl w:val="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本标准在保证科学性的前提下，特别注重实用性和可操作性。通过深入调研乳制品企业的实际需求，标准内容设计充分考虑了企业的数据基础和实施条件。在数据要求方面，既规定了理想状态下的数据采集标准，也提供了在数据不完善情况下的替代方案；在核算方法上，采用了相对简化的计算模型，降低企业实施难度。此外，标准还提供了详细的数据采集表示例和核算案例，为企业实际操作提供了明确指引。标准制定过程中多次征求企业意见，确保内容贴合实际，便于推广实施。</w:t>
      </w:r>
    </w:p>
    <w:p w14:paraId="542ECFD5">
      <w:pPr>
        <w:keepNext/>
        <w:keepLines/>
        <w:spacing w:line="560" w:lineRule="exact"/>
        <w:ind w:firstLine="640" w:firstLineChars="200"/>
        <w:jc w:val="left"/>
        <w:outlineLvl w:val="0"/>
        <w:rPr>
          <w:rFonts w:ascii="仿宋_GB2312" w:hAnsi="Times New Roman" w:eastAsia="黑体" w:cs="Times New Roman"/>
          <w:bCs/>
          <w:kern w:val="44"/>
          <w:sz w:val="32"/>
          <w:szCs w:val="44"/>
          <w:highlight w:val="none"/>
        </w:rPr>
      </w:pPr>
      <w:r>
        <w:rPr>
          <w:rFonts w:hint="eastAsia" w:ascii="仿宋_GB2312" w:hAnsi="Times New Roman" w:eastAsia="黑体" w:cs="Times New Roman"/>
          <w:bCs/>
          <w:kern w:val="44"/>
          <w:sz w:val="32"/>
          <w:szCs w:val="44"/>
          <w:highlight w:val="none"/>
        </w:rPr>
        <w:t>五、标准的制定依据和主要内容</w:t>
      </w:r>
    </w:p>
    <w:p w14:paraId="113CA9A9">
      <w:pPr>
        <w:spacing w:line="560" w:lineRule="exact"/>
        <w:ind w:firstLine="640" w:firstLineChars="200"/>
        <w:jc w:val="left"/>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（一）依据来源</w:t>
      </w:r>
    </w:p>
    <w:p w14:paraId="0A6DBA3D">
      <w:pPr>
        <w:pStyle w:val="5"/>
        <w:ind w:firstLine="640"/>
        <w:rPr>
          <w:rFonts w:ascii="仿宋_GB2312" w:eastAsia="仿宋_GB2312"/>
          <w:kern w:val="2"/>
          <w:sz w:val="32"/>
          <w:szCs w:val="32"/>
          <w:highlight w:val="none"/>
        </w:rPr>
      </w:pPr>
      <w:r>
        <w:rPr>
          <w:rFonts w:hint="eastAsia" w:ascii="仿宋_GB2312" w:eastAsia="仿宋_GB2312"/>
          <w:kern w:val="2"/>
          <w:sz w:val="32"/>
          <w:szCs w:val="32"/>
          <w:highlight w:val="none"/>
        </w:rPr>
        <w:t>本标准在编制过程中，严格遵循国家碳达峰碳中和战略部署要求，主要依据《中共中央国务院关于完整准确全面贯彻新发展理念做好碳达峰碳中和工作的意见》《2030年前碳达峰行动方案》等国家顶层政策文件，深入贯彻落实习近平总书记对内蒙古自治区提出的</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建设国家重要农畜产品生产基地</w:t>
      </w: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rPr>
        <w:t>重要指示精神。同时，紧密结合《国家标准化发展纲要》中关于建立健全碳达峰碳中和标准体系的具体要求，以及《内蒙古自治区乳业振兴规划》等地方政策文件，确保标准制定工作符合国家战略导向和区域发展需求。在技术层面，本标准主要参考GB/T 24040《环境管理生命周期评价原则与框架》、GB/T 24044《环境管理生命周期评价要求与指南》、GB/T 24067《温室气体</w:t>
      </w:r>
      <w:r>
        <w:rPr>
          <w:rFonts w:hint="eastAsia" w:ascii="仿宋_GB2312" w:eastAsia="仿宋_GB2312"/>
          <w:kern w:val="2"/>
          <w:sz w:val="32"/>
          <w:szCs w:val="32"/>
          <w:highlight w:val="none"/>
          <w:lang w:val="en-US" w:eastAsia="zh-CN"/>
        </w:rPr>
        <w:t xml:space="preserve"> </w:t>
      </w:r>
      <w:r>
        <w:rPr>
          <w:rFonts w:hint="eastAsia" w:ascii="仿宋_GB2312" w:eastAsia="仿宋_GB2312"/>
          <w:kern w:val="2"/>
          <w:sz w:val="32"/>
          <w:szCs w:val="32"/>
          <w:highlight w:val="none"/>
        </w:rPr>
        <w:t>产品碳足迹量化要求和指南》等国家标准，同时借鉴ISO 14067、PAS 2050等国际先进标准，确保标准内容既符合中国国情，又与国际接轨。</w:t>
      </w:r>
    </w:p>
    <w:p w14:paraId="0E8CA007">
      <w:pPr>
        <w:spacing w:line="560" w:lineRule="exact"/>
        <w:ind w:firstLine="640" w:firstLineChars="200"/>
        <w:jc w:val="left"/>
        <w:rPr>
          <w:rFonts w:ascii="Cambria" w:hAnsi="Cambria" w:eastAsia="楷体_GB2312" w:cs="Times New Roman"/>
          <w:bCs/>
          <w:sz w:val="32"/>
          <w:szCs w:val="32"/>
          <w:highlight w:val="none"/>
        </w:rPr>
      </w:pPr>
      <w:r>
        <w:rPr>
          <w:rFonts w:hint="eastAsia" w:ascii="Cambria" w:hAnsi="Cambria" w:eastAsia="楷体_GB2312" w:cs="Times New Roman"/>
          <w:bCs/>
          <w:sz w:val="32"/>
          <w:szCs w:val="32"/>
          <w:highlight w:val="none"/>
        </w:rPr>
        <w:t>（二）主要内容</w:t>
      </w:r>
    </w:p>
    <w:p w14:paraId="3C12E596">
      <w:pPr>
        <w:spacing w:line="56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本标准系统规定了液态乳生产加工过程中碳足迹与水足迹评价的技术要求，主要包括术语定义、功能单位、系统边界、数据收集要求及结果报告规则等核心内容。标准适用于巴氏杀菌乳、灭菌乳、调制乳等主要液态乳制品的产品碳足迹核算，涵盖从饲料种植、奶牛养殖、原奶运输到生产加工、包装储运及分销环节的全生命周期过程。在技术内容设计上，标准创新性地建立了适合中国乳业特点的碳水足迹核算模型，明确了数据采集的质量要求和方法规范，为企业实施碳足迹核算提供了完整的技术指引。</w:t>
      </w:r>
    </w:p>
    <w:p w14:paraId="71FE14C6">
      <w:pPr>
        <w:spacing w:line="56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标准内容架构科学完整，共包含7个主要章节和3个附录。第一章明确了标准的适用范围，第二章列出了规范性引用文件，第三章对碳足迹、水足迹、生命周期评价等关键术语进行了明确定义。第四章详细规定了量化范围，包括目标产品界定、产品描述要求和系统边界划分。第五章系统阐述了数据收集规则和质量要求，第六章规定了产品碳水双足迹的信息披露形式。附录部分提供了现场调研数据采集表、产品碳水足迹报告模板等实用工具。标准还创新性地引入了内蒙古地域排放因子库和灰水污染物限值区域修正系数，体现了标准内容的区域特色和实用性。</w:t>
      </w:r>
    </w:p>
    <w:p w14:paraId="3C59B0B0">
      <w:pPr>
        <w:spacing w:line="560" w:lineRule="exact"/>
        <w:ind w:firstLine="640" w:firstLineChars="200"/>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标准的技术内容充分考虑了液态乳生产的工艺特点和数据可获得性，在保证科学性的同时注重实践可操作性。通过建立统一规范的核算方法，为乳制品企业实施碳足迹管理、开展产品碳标签认证提供了技术依据，同时也为政府部门制定行业碳减排政策提供了标准支撑。标准的实施将有助于提升我国乳制品碳足迹管理的规范化和标准化水平，推动乳业绿色低碳发展。</w:t>
      </w:r>
    </w:p>
    <w:p w14:paraId="0F8E7A5E">
      <w:pPr>
        <w:keepNext/>
        <w:keepLines/>
        <w:spacing w:line="560" w:lineRule="exact"/>
        <w:ind w:firstLine="640" w:firstLineChars="200"/>
        <w:jc w:val="left"/>
        <w:outlineLvl w:val="0"/>
        <w:rPr>
          <w:rFonts w:ascii="仿宋_GB2312" w:hAnsi="Times New Roman" w:eastAsia="黑体" w:cs="Times New Roman"/>
          <w:bCs/>
          <w:kern w:val="44"/>
          <w:sz w:val="32"/>
          <w:szCs w:val="44"/>
          <w:highlight w:val="none"/>
        </w:rPr>
      </w:pPr>
      <w:r>
        <w:rPr>
          <w:rFonts w:hint="eastAsia" w:ascii="仿宋_GB2312" w:hAnsi="Times New Roman" w:eastAsia="黑体" w:cs="Times New Roman"/>
          <w:bCs/>
          <w:kern w:val="44"/>
          <w:sz w:val="32"/>
          <w:szCs w:val="44"/>
          <w:highlight w:val="none"/>
        </w:rPr>
        <w:t>六、重大意见分歧的处理依据和结果</w:t>
      </w:r>
    </w:p>
    <w:p w14:paraId="5F835B1A">
      <w:pPr>
        <w:widowControl/>
        <w:tabs>
          <w:tab w:val="center" w:pos="4201"/>
          <w:tab w:val="right" w:leader="dot" w:pos="9298"/>
        </w:tabs>
        <w:autoSpaceDE w:val="0"/>
        <w:autoSpaceDN w:val="0"/>
        <w:spacing w:line="56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无重大意见分歧。</w:t>
      </w:r>
    </w:p>
    <w:p w14:paraId="483643E8">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黑体" w:hAnsi="黑体" w:eastAsia="黑体" w:cs="黑体"/>
          <w:sz w:val="32"/>
          <w:szCs w:val="32"/>
          <w:highlight w:val="none"/>
          <w:lang w:val="en-US" w:eastAsia="zh-CN"/>
        </w:rPr>
        <w:t>七、采用国际标准或国外先进标准的，说明采标程度，以及国内外同类标准水平的对比情况</w:t>
      </w:r>
    </w:p>
    <w:p w14:paraId="102DA611">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本标准不采标，现有标准多为通用标准，为大部分产品提供通用的计算框架和方法，本标准则是根据企业自身发展过程的实际情况，构建基于人工智能的碳水双足迹一体化平台，实时监控奶粉全产业链的碳水足迹，在此基础上制定技术评价规范，以满足未来乳制品行业绿色发展的趋势；团体标准作为推动行业技术创新和产业升级的重要载体，其制定过程应鼓励自主创新，避免简单复制或照搬现有标准，同时团体标准需要更加灵活、快速地响应市场变化，以提供更好的服务。通过制定具有自主知识产权的团体标准，可以提升行业整体竞争力和影响力。</w:t>
      </w:r>
    </w:p>
    <w:p w14:paraId="1D9DCFAC">
      <w:pPr>
        <w:widowControl/>
        <w:tabs>
          <w:tab w:val="center" w:pos="4201"/>
          <w:tab w:val="right" w:leader="dot" w:pos="9298"/>
        </w:tabs>
        <w:autoSpaceDE w:val="0"/>
        <w:autoSpaceDN w:val="0"/>
        <w:spacing w:line="560" w:lineRule="exact"/>
        <w:ind w:firstLine="640" w:firstLineChars="200"/>
        <w:rPr>
          <w:rFonts w:hint="eastAsia" w:ascii="仿宋_GB2312" w:hAnsi="Times New Roman" w:eastAsia="仿宋_GB2312" w:cs="Times New Roman"/>
          <w:sz w:val="32"/>
          <w:szCs w:val="32"/>
          <w:highlight w:val="none"/>
        </w:rPr>
      </w:pPr>
      <w:bookmarkStart w:id="0" w:name="_GoBack"/>
      <w:bookmarkEnd w:id="0"/>
    </w:p>
    <w:p w14:paraId="49C6D25E">
      <w:pPr>
        <w:widowControl/>
        <w:tabs>
          <w:tab w:val="center" w:pos="4201"/>
          <w:tab w:val="right" w:leader="dot" w:pos="9298"/>
        </w:tabs>
        <w:autoSpaceDE w:val="0"/>
        <w:autoSpaceDN w:val="0"/>
        <w:spacing w:line="560" w:lineRule="exact"/>
        <w:ind w:firstLine="640" w:firstLineChars="200"/>
        <w:jc w:val="left"/>
        <w:rPr>
          <w:rFonts w:ascii="仿宋_GB2312" w:hAnsi="Times New Roman" w:eastAsia="仿宋_GB2312" w:cs="Times New Roman"/>
          <w:sz w:val="32"/>
          <w:szCs w:val="32"/>
          <w:highlight w:val="none"/>
        </w:rPr>
      </w:pPr>
    </w:p>
    <w:p w14:paraId="35B9678E">
      <w:pPr>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rPr>
      </w:pPr>
    </w:p>
    <w:p w14:paraId="71FE17BD">
      <w:pPr>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bCs/>
          <w:sz w:val="32"/>
          <w:szCs w:val="32"/>
          <w:highlight w:val="none"/>
          <w:lang w:val="en-US" w:eastAsia="zh-CN"/>
        </w:rPr>
      </w:pPr>
    </w:p>
    <w:p w14:paraId="3B783FEA">
      <w:pPr>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bCs/>
          <w:sz w:val="32"/>
          <w:szCs w:val="32"/>
          <w:highlight w:val="none"/>
          <w:lang w:val="en-US" w:eastAsia="zh-CN"/>
        </w:rPr>
      </w:pPr>
    </w:p>
    <w:p w14:paraId="2A7899E7">
      <w:pPr>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p>
    <w:p w14:paraId="7814EE39">
      <w:pPr>
        <w:pageBreakBefore w:val="0"/>
        <w:widowControl/>
        <w:tabs>
          <w:tab w:val="center" w:pos="4201"/>
          <w:tab w:val="right" w:leader="dot" w:pos="9298"/>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p>
    <w:p w14:paraId="71590B38">
      <w:pPr>
        <w:rPr>
          <w:highlight w:val="none"/>
        </w:rPr>
      </w:pPr>
    </w:p>
    <w:p w14:paraId="312552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3D3DDE-C586-4D74-A633-4566B57ED1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40E2CA30-DD01-4F60-93EA-8F51212E409A}"/>
  </w:font>
  <w:font w:name="华文中宋">
    <w:panose1 w:val="02010600040101010101"/>
    <w:charset w:val="86"/>
    <w:family w:val="auto"/>
    <w:pitch w:val="default"/>
    <w:sig w:usb0="00000287" w:usb1="080F0000" w:usb2="00000000" w:usb3="00000000" w:csb0="0004009F" w:csb1="DFD70000"/>
    <w:embedRegular r:id="rId3" w:fontKey="{297C6844-F509-41BF-9970-08872064B21C}"/>
  </w:font>
  <w:font w:name="仿宋_GB2312">
    <w:altName w:val="仿宋"/>
    <w:panose1 w:val="02010609030101010101"/>
    <w:charset w:val="86"/>
    <w:family w:val="modern"/>
    <w:pitch w:val="default"/>
    <w:sig w:usb0="00000000" w:usb1="00000000" w:usb2="00000000" w:usb3="00000000" w:csb0="00040000" w:csb1="00000000"/>
    <w:embedRegular r:id="rId4" w:fontKey="{B2170EC9-3326-43CB-BCCD-62B38FEB6E4C}"/>
  </w:font>
  <w:font w:name="仿宋">
    <w:panose1 w:val="02010609060101010101"/>
    <w:charset w:val="86"/>
    <w:family w:val="auto"/>
    <w:pitch w:val="default"/>
    <w:sig w:usb0="800002BF" w:usb1="38CF7CFA" w:usb2="00000016" w:usb3="00000000" w:csb0="00040001" w:csb1="00000000"/>
    <w:embedRegular r:id="rId5" w:fontKey="{5520C2A9-2D24-4460-BE1B-611DA6EAC4A0}"/>
  </w:font>
  <w:font w:name="Cambria">
    <w:panose1 w:val="02040503050406030204"/>
    <w:charset w:val="00"/>
    <w:family w:val="roman"/>
    <w:pitch w:val="default"/>
    <w:sig w:usb0="E00006FF" w:usb1="420024FF" w:usb2="02000000" w:usb3="00000000" w:csb0="2000019F" w:csb1="00000000"/>
    <w:embedRegular r:id="rId6" w:fontKey="{5BE1ABAA-8741-456B-8D82-C43396014F30}"/>
  </w:font>
  <w:font w:name="楷体_GB2312">
    <w:altName w:val="楷体"/>
    <w:panose1 w:val="02010609030101010101"/>
    <w:charset w:val="86"/>
    <w:family w:val="modern"/>
    <w:pitch w:val="default"/>
    <w:sig w:usb0="00000000" w:usb1="00000000" w:usb2="00000000" w:usb3="00000000" w:csb0="00040000" w:csb1="00000000"/>
    <w:embedRegular r:id="rId7" w:fontKey="{6EC38DD2-5A64-4256-83B7-7797BF8636E3}"/>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A7DD4"/>
    <w:rsid w:val="032E4D47"/>
    <w:rsid w:val="18B83850"/>
    <w:rsid w:val="5F2A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6211</Words>
  <Characters>6409</Characters>
  <Lines>0</Lines>
  <Paragraphs>0</Paragraphs>
  <TotalTime>0</TotalTime>
  <ScaleCrop>false</ScaleCrop>
  <LinksUpToDate>false</LinksUpToDate>
  <CharactersWithSpaces>6435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2025-11-26T06:43:00Z</dcterms:created>
  <dc:creator>鄂晶晶</dc:creator>
  <cp:lastModifiedBy>ZY</cp:lastModifiedBy>
  <dcterms:modified xsi:type="dcterms:W3CDTF">2025-11-26T13:24:05Z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8038198DDA8D48779756DD10F4B66402_13</vt:lpwstr>
  </property>
  <property fmtid="{D5CDD505-2E9C-101B-9397-08002B2CF9AE}" pid="4" name="KSOTemplateDocerSaveRecord">
    <vt:lpwstr>eyJoZGlkIjoiMmM2ZmJhZTMwZjVlODkyNTY0YzI0ODJjYWM5Y2ViOGQiLCJ1c2VySWQiOiIyMDc3NzQ4MjAifQ==</vt:lpwstr>
  </property>
</Properties>
</file>