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9F" w:rsidRDefault="00A80F9F" w:rsidP="00A80F9F">
      <w:pPr>
        <w:spacing w:line="560" w:lineRule="exact"/>
        <w:jc w:val="center"/>
        <w:rPr>
          <w:rFonts w:ascii="宋体" w:hAnsi="宋体"/>
          <w:b/>
          <w:kern w:val="0"/>
          <w:sz w:val="48"/>
          <w:szCs w:val="44"/>
        </w:rPr>
      </w:pPr>
    </w:p>
    <w:p w:rsidR="00A80F9F" w:rsidRDefault="00A80F9F"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811FED" w:rsidRDefault="00A80F9F" w:rsidP="00C426AE">
      <w:pPr>
        <w:spacing w:line="560" w:lineRule="exact"/>
        <w:jc w:val="center"/>
        <w:rPr>
          <w:rFonts w:ascii="黑体" w:eastAsia="黑体" w:hAnsi="黑体"/>
          <w:sz w:val="48"/>
          <w:szCs w:val="48"/>
        </w:rPr>
      </w:pPr>
      <w:r w:rsidRPr="001B6DAF">
        <w:rPr>
          <w:rFonts w:ascii="黑体" w:eastAsia="黑体" w:hAnsi="黑体" w:hint="eastAsia"/>
          <w:sz w:val="48"/>
          <w:szCs w:val="48"/>
        </w:rPr>
        <w:t>《</w:t>
      </w:r>
      <w:r w:rsidR="00B12295">
        <w:rPr>
          <w:rFonts w:ascii="黑体" w:eastAsia="黑体" w:hAnsi="黑体" w:hint="eastAsia"/>
          <w:sz w:val="48"/>
          <w:szCs w:val="48"/>
        </w:rPr>
        <w:t>石油化工企业</w:t>
      </w:r>
      <w:r w:rsidR="00811FED" w:rsidRPr="00811FED">
        <w:rPr>
          <w:rFonts w:ascii="黑体" w:eastAsia="黑体" w:hAnsi="黑体" w:hint="eastAsia"/>
          <w:sz w:val="48"/>
          <w:szCs w:val="48"/>
        </w:rPr>
        <w:t>反恐怖防范要求</w:t>
      </w:r>
      <w:r w:rsidRPr="001B6DAF">
        <w:rPr>
          <w:rFonts w:ascii="黑体" w:eastAsia="黑体" w:hAnsi="黑体" w:hint="eastAsia"/>
          <w:sz w:val="48"/>
          <w:szCs w:val="48"/>
        </w:rPr>
        <w:t>》</w:t>
      </w:r>
    </w:p>
    <w:p w:rsidR="00C426AE" w:rsidRPr="001B6DAF" w:rsidRDefault="00487384" w:rsidP="00C426AE">
      <w:pPr>
        <w:spacing w:line="560" w:lineRule="exact"/>
        <w:jc w:val="center"/>
        <w:rPr>
          <w:rFonts w:ascii="黑体" w:eastAsia="黑体" w:hAnsi="黑体"/>
          <w:sz w:val="48"/>
          <w:szCs w:val="48"/>
        </w:rPr>
      </w:pPr>
      <w:r>
        <w:rPr>
          <w:rFonts w:ascii="黑体" w:eastAsia="黑体" w:hAnsi="黑体" w:hint="eastAsia"/>
          <w:sz w:val="48"/>
          <w:szCs w:val="48"/>
        </w:rPr>
        <w:t>团体</w:t>
      </w:r>
      <w:r w:rsidR="00C426AE" w:rsidRPr="001B6DAF">
        <w:rPr>
          <w:rFonts w:ascii="黑体" w:eastAsia="黑体" w:hAnsi="黑体" w:hint="eastAsia"/>
          <w:sz w:val="48"/>
          <w:szCs w:val="48"/>
        </w:rPr>
        <w:t>标准</w:t>
      </w:r>
    </w:p>
    <w:p w:rsidR="00A80F9F" w:rsidRPr="00A97C62" w:rsidRDefault="00A80F9F" w:rsidP="00A80F9F">
      <w:pPr>
        <w:spacing w:line="360" w:lineRule="auto"/>
        <w:jc w:val="center"/>
        <w:rPr>
          <w:rFonts w:hAnsi="宋体"/>
          <w:b/>
          <w:sz w:val="48"/>
          <w:szCs w:val="48"/>
        </w:rPr>
      </w:pPr>
    </w:p>
    <w:p w:rsidR="00A80F9F" w:rsidRPr="001B6DAF" w:rsidRDefault="00A80F9F" w:rsidP="00A80F9F">
      <w:pPr>
        <w:spacing w:line="360" w:lineRule="auto"/>
        <w:jc w:val="center"/>
        <w:rPr>
          <w:rFonts w:asciiTheme="minorEastAsia" w:eastAsiaTheme="minorEastAsia" w:hAnsiTheme="minorEastAsia"/>
          <w:b/>
          <w:kern w:val="0"/>
          <w:sz w:val="44"/>
          <w:szCs w:val="44"/>
        </w:rPr>
      </w:pPr>
      <w:r w:rsidRPr="001B6DAF">
        <w:rPr>
          <w:rFonts w:asciiTheme="minorEastAsia" w:eastAsiaTheme="minorEastAsia" w:hAnsiTheme="minorEastAsia" w:hint="eastAsia"/>
          <w:b/>
          <w:kern w:val="0"/>
          <w:sz w:val="44"/>
          <w:szCs w:val="44"/>
        </w:rPr>
        <w:t>编制说明</w:t>
      </w: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Pr="00B646E1" w:rsidRDefault="00A80F9F" w:rsidP="00A80F9F">
      <w:pPr>
        <w:spacing w:line="560" w:lineRule="exact"/>
        <w:jc w:val="center"/>
        <w:rPr>
          <w:rFonts w:ascii="宋体" w:hAnsi="宋体"/>
          <w:kern w:val="0"/>
          <w:sz w:val="36"/>
          <w:szCs w:val="28"/>
        </w:rPr>
      </w:pPr>
      <w:r w:rsidRPr="00B646E1">
        <w:rPr>
          <w:rFonts w:ascii="宋体" w:hAnsi="宋体" w:hint="eastAsia"/>
          <w:kern w:val="0"/>
          <w:sz w:val="36"/>
          <w:szCs w:val="28"/>
        </w:rPr>
        <w:t>标准起草组</w:t>
      </w:r>
    </w:p>
    <w:p w:rsidR="00A80F9F" w:rsidRPr="008217B8" w:rsidRDefault="00A80F9F" w:rsidP="008217B8">
      <w:pPr>
        <w:spacing w:line="560" w:lineRule="exact"/>
        <w:jc w:val="center"/>
        <w:rPr>
          <w:sz w:val="32"/>
          <w:szCs w:val="32"/>
        </w:rPr>
        <w:sectPr w:rsidR="00A80F9F" w:rsidRPr="008217B8">
          <w:footerReference w:type="even" r:id="rId8"/>
          <w:footerReference w:type="default" r:id="rId9"/>
          <w:endnotePr>
            <w:numFmt w:val="decimal"/>
          </w:endnotePr>
          <w:pgSz w:w="11906" w:h="16838"/>
          <w:pgMar w:top="1440" w:right="1758" w:bottom="1440" w:left="1758" w:header="851" w:footer="992" w:gutter="0"/>
          <w:cols w:space="720"/>
          <w:titlePg/>
          <w:docGrid w:type="lines" w:linePitch="312"/>
        </w:sectPr>
      </w:pPr>
    </w:p>
    <w:p w:rsidR="00C94B89" w:rsidRPr="00B646E1" w:rsidRDefault="002C463A" w:rsidP="00912B7B">
      <w:pPr>
        <w:jc w:val="center"/>
        <w:rPr>
          <w:rFonts w:ascii="方正小标宋简体" w:eastAsia="方正小标宋简体" w:hAnsiTheme="minorHAnsi" w:cstheme="minorBidi"/>
          <w:sz w:val="44"/>
          <w:szCs w:val="44"/>
        </w:rPr>
      </w:pPr>
      <w:bookmarkStart w:id="0" w:name="OLE_LINK8"/>
      <w:bookmarkStart w:id="1" w:name="OLE_LINK9"/>
      <w:r>
        <w:rPr>
          <w:rFonts w:ascii="方正小标宋简体" w:eastAsia="方正小标宋简体" w:hAnsiTheme="minorHAnsi" w:cstheme="minorBidi" w:hint="eastAsia"/>
          <w:sz w:val="44"/>
          <w:szCs w:val="44"/>
        </w:rPr>
        <w:lastRenderedPageBreak/>
        <w:t>《</w:t>
      </w:r>
      <w:r w:rsidR="00B12295">
        <w:rPr>
          <w:rFonts w:ascii="黑体" w:eastAsia="黑体" w:hAnsi="黑体" w:hint="eastAsia"/>
          <w:sz w:val="48"/>
          <w:szCs w:val="48"/>
        </w:rPr>
        <w:t>石油化工企业</w:t>
      </w:r>
      <w:r w:rsidR="00912B7B" w:rsidRPr="00912B7B">
        <w:rPr>
          <w:rFonts w:ascii="方正小标宋简体" w:eastAsia="方正小标宋简体" w:hAnsiTheme="minorHAnsi" w:cstheme="minorBidi" w:hint="eastAsia"/>
          <w:sz w:val="44"/>
          <w:szCs w:val="44"/>
        </w:rPr>
        <w:t>反恐怖防范要求</w:t>
      </w:r>
      <w:r w:rsidR="00D60467">
        <w:rPr>
          <w:rFonts w:ascii="方正小标宋简体" w:eastAsia="方正小标宋简体" w:hAnsiTheme="minorHAnsi" w:cstheme="minorBidi" w:hint="eastAsia"/>
          <w:sz w:val="44"/>
          <w:szCs w:val="44"/>
        </w:rPr>
        <w:t>》</w:t>
      </w:r>
    </w:p>
    <w:p w:rsidR="00A80F9F" w:rsidRPr="00B646E1" w:rsidRDefault="00A80F9F" w:rsidP="00A80F9F">
      <w:pPr>
        <w:spacing w:line="560" w:lineRule="exact"/>
        <w:jc w:val="center"/>
        <w:rPr>
          <w:rFonts w:ascii="方正小标宋简体" w:eastAsia="方正小标宋简体" w:hAnsiTheme="minorHAnsi" w:cstheme="minorBidi"/>
          <w:sz w:val="44"/>
          <w:szCs w:val="44"/>
        </w:rPr>
      </w:pPr>
      <w:r w:rsidRPr="00B646E1">
        <w:rPr>
          <w:rFonts w:ascii="方正小标宋简体" w:eastAsia="方正小标宋简体" w:hAnsiTheme="minorHAnsi" w:cstheme="minorBidi" w:hint="eastAsia"/>
          <w:sz w:val="44"/>
          <w:szCs w:val="44"/>
        </w:rPr>
        <w:t>编制说明</w:t>
      </w:r>
    </w:p>
    <w:p w:rsidR="00A80F9F" w:rsidRPr="00BF0000" w:rsidRDefault="00A80F9F" w:rsidP="00CE64C3">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一、工作简况</w:t>
      </w:r>
    </w:p>
    <w:p w:rsidR="00A80F9F" w:rsidRPr="00020F82" w:rsidRDefault="00A80F9F" w:rsidP="00BF0000">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（一）任务来源</w:t>
      </w:r>
    </w:p>
    <w:p w:rsidR="001D7363" w:rsidRDefault="00487384" w:rsidP="00BF0000">
      <w:pPr>
        <w:spacing w:line="600" w:lineRule="exact"/>
        <w:ind w:firstLineChars="200" w:firstLine="640"/>
        <w:rPr>
          <w:rFonts w:ascii="仿宋_GB2312" w:eastAsia="仿宋_GB2312"/>
          <w:sz w:val="32"/>
          <w:szCs w:val="32"/>
        </w:rPr>
      </w:pPr>
      <w:r w:rsidRPr="00487384">
        <w:rPr>
          <w:rFonts w:ascii="仿宋_GB2312" w:eastAsia="仿宋_GB2312" w:hint="eastAsia"/>
          <w:sz w:val="32"/>
          <w:szCs w:val="32"/>
        </w:rPr>
        <w:t>根据自治区市场监管局《关于 2024 年度内蒙古自治区地方标准排查结论公告》的通知要求，原计划对《</w:t>
      </w:r>
      <w:r>
        <w:rPr>
          <w:rFonts w:ascii="仿宋_GB2312" w:eastAsia="仿宋_GB2312" w:hint="eastAsia"/>
          <w:sz w:val="32"/>
          <w:szCs w:val="32"/>
        </w:rPr>
        <w:t>石油化工企业</w:t>
      </w:r>
      <w:r w:rsidRPr="00487384">
        <w:rPr>
          <w:rFonts w:ascii="仿宋_GB2312" w:eastAsia="仿宋_GB2312" w:hint="eastAsia"/>
          <w:sz w:val="32"/>
          <w:szCs w:val="32"/>
        </w:rPr>
        <w:t>反恐怖防范要求》地方标准进行</w:t>
      </w:r>
      <w:r>
        <w:rPr>
          <w:rFonts w:ascii="仿宋_GB2312" w:eastAsia="仿宋_GB2312" w:hint="eastAsia"/>
          <w:sz w:val="32"/>
          <w:szCs w:val="32"/>
        </w:rPr>
        <w:t>修订</w:t>
      </w:r>
      <w:r w:rsidRPr="00487384">
        <w:rPr>
          <w:rFonts w:ascii="仿宋_GB2312" w:eastAsia="仿宋_GB2312" w:hint="eastAsia"/>
          <w:sz w:val="32"/>
          <w:szCs w:val="32"/>
        </w:rPr>
        <w:t>工作。后因国家市场监督管理总局《地方标准制定负面清单（2025 年版）》相关规定，该项标准已不符合地方标准制定要求，需调整标准属性转为团体标准，据此启动《</w:t>
      </w:r>
      <w:r>
        <w:rPr>
          <w:rFonts w:ascii="仿宋_GB2312" w:eastAsia="仿宋_GB2312" w:hint="eastAsia"/>
          <w:sz w:val="32"/>
          <w:szCs w:val="32"/>
        </w:rPr>
        <w:t>石油化工企业</w:t>
      </w:r>
      <w:r w:rsidRPr="00487384">
        <w:rPr>
          <w:rFonts w:ascii="仿宋_GB2312" w:eastAsia="仿宋_GB2312" w:hint="eastAsia"/>
          <w:sz w:val="32"/>
          <w:szCs w:val="32"/>
        </w:rPr>
        <w:t>反恐怖防范要求》团体标准的制定任务。</w:t>
      </w:r>
      <w:r w:rsidR="001D7363" w:rsidRPr="001D7363">
        <w:rPr>
          <w:rFonts w:ascii="仿宋_GB2312" w:eastAsia="仿宋_GB2312" w:hint="eastAsia"/>
          <w:sz w:val="32"/>
          <w:szCs w:val="32"/>
        </w:rPr>
        <w:t>此次</w:t>
      </w:r>
      <w:r>
        <w:rPr>
          <w:rFonts w:ascii="仿宋_GB2312" w:eastAsia="仿宋_GB2312" w:hint="eastAsia"/>
          <w:sz w:val="32"/>
          <w:szCs w:val="32"/>
        </w:rPr>
        <w:t>制定</w:t>
      </w:r>
      <w:r w:rsidR="001D7363" w:rsidRPr="001D7363">
        <w:rPr>
          <w:rFonts w:ascii="仿宋_GB2312" w:eastAsia="仿宋_GB2312" w:hint="eastAsia"/>
          <w:sz w:val="32"/>
          <w:szCs w:val="32"/>
        </w:rPr>
        <w:t>任务旨在进一步完善</w:t>
      </w:r>
      <w:r w:rsidR="00B12295">
        <w:rPr>
          <w:rFonts w:ascii="仿宋_GB2312" w:eastAsia="仿宋_GB2312" w:hint="eastAsia"/>
          <w:sz w:val="32"/>
          <w:szCs w:val="32"/>
        </w:rPr>
        <w:t>石油化工企业</w:t>
      </w:r>
      <w:r w:rsidR="001D7363" w:rsidRPr="001D7363">
        <w:rPr>
          <w:rFonts w:ascii="仿宋_GB2312" w:eastAsia="仿宋_GB2312" w:hint="eastAsia"/>
          <w:sz w:val="32"/>
          <w:szCs w:val="32"/>
        </w:rPr>
        <w:t>的反恐怖防范标准</w:t>
      </w:r>
      <w:r>
        <w:rPr>
          <w:rFonts w:ascii="仿宋_GB2312" w:eastAsia="仿宋_GB2312" w:hint="eastAsia"/>
          <w:sz w:val="32"/>
          <w:szCs w:val="32"/>
        </w:rPr>
        <w:t>体系</w:t>
      </w:r>
      <w:r w:rsidR="001D7363" w:rsidRPr="001D7363">
        <w:rPr>
          <w:rFonts w:ascii="仿宋_GB2312" w:eastAsia="仿宋_GB2312" w:hint="eastAsia"/>
          <w:sz w:val="32"/>
          <w:szCs w:val="32"/>
        </w:rPr>
        <w:t>，提高行业的安全防范水平，以应对可能出现的恐怖威胁，确保人民生命财产安全和社会稳定。</w:t>
      </w:r>
    </w:p>
    <w:p w:rsidR="00D62638" w:rsidRPr="00020F82" w:rsidRDefault="00D62638" w:rsidP="00BF0000">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w:t>
      </w:r>
      <w:r w:rsidR="00020F82" w:rsidRPr="00020F82">
        <w:rPr>
          <w:rFonts w:ascii="楷体" w:eastAsia="楷体" w:hAnsi="楷体" w:hint="eastAsia"/>
          <w:sz w:val="32"/>
          <w:szCs w:val="32"/>
        </w:rPr>
        <w:t>起草</w:t>
      </w:r>
      <w:r w:rsidRPr="00020F82">
        <w:rPr>
          <w:rFonts w:ascii="楷体" w:eastAsia="楷体" w:hAnsi="楷体" w:hint="eastAsia"/>
          <w:sz w:val="32"/>
          <w:szCs w:val="32"/>
        </w:rPr>
        <w:t>单位</w:t>
      </w:r>
    </w:p>
    <w:p w:rsidR="002C463A" w:rsidRPr="0096297C" w:rsidRDefault="00022CED" w:rsidP="0096297C">
      <w:pPr>
        <w:spacing w:line="600" w:lineRule="exact"/>
        <w:ind w:firstLineChars="200" w:firstLine="640"/>
        <w:rPr>
          <w:rFonts w:ascii="仿宋_GB2312" w:eastAsia="仿宋_GB2312"/>
          <w:sz w:val="32"/>
          <w:szCs w:val="32"/>
        </w:rPr>
      </w:pPr>
      <w:r>
        <w:rPr>
          <w:rFonts w:ascii="仿宋_GB2312" w:eastAsia="仿宋_GB2312" w:hint="eastAsia"/>
          <w:sz w:val="32"/>
          <w:szCs w:val="32"/>
        </w:rPr>
        <w:t>起草</w:t>
      </w:r>
      <w:r w:rsidR="00D62638" w:rsidRPr="00BF0000">
        <w:rPr>
          <w:rFonts w:ascii="仿宋_GB2312" w:eastAsia="仿宋_GB2312" w:hint="eastAsia"/>
          <w:sz w:val="32"/>
          <w:szCs w:val="32"/>
        </w:rPr>
        <w:t>单位：</w:t>
      </w:r>
      <w:r w:rsidR="00380F67" w:rsidRPr="00380F67">
        <w:rPr>
          <w:rFonts w:ascii="仿宋_GB2312" w:eastAsia="仿宋_GB2312" w:hint="eastAsia"/>
          <w:sz w:val="32"/>
          <w:szCs w:val="32"/>
        </w:rPr>
        <w:t>内蒙古自治区反恐怖</w:t>
      </w:r>
      <w:r w:rsidR="00380F67" w:rsidRPr="00380F67">
        <w:rPr>
          <w:rFonts w:ascii="仿宋_GB2312" w:eastAsia="仿宋_GB2312"/>
          <w:sz w:val="32"/>
          <w:szCs w:val="32"/>
        </w:rPr>
        <w:t>工作领导小组办公室</w:t>
      </w:r>
      <w:r w:rsidR="0096297C" w:rsidRPr="00174822">
        <w:rPr>
          <w:rFonts w:ascii="仿宋_GB2312" w:eastAsia="仿宋_GB2312"/>
          <w:sz w:val="32"/>
          <w:szCs w:val="32"/>
        </w:rPr>
        <w:t>、内蒙古自治区</w:t>
      </w:r>
      <w:r w:rsidR="0096297C" w:rsidRPr="00A25863">
        <w:rPr>
          <w:rFonts w:ascii="仿宋_GB2312" w:eastAsia="仿宋_GB2312" w:hint="eastAsia"/>
          <w:sz w:val="32"/>
          <w:szCs w:val="32"/>
        </w:rPr>
        <w:t>质量和标准化研究院</w:t>
      </w:r>
      <w:r w:rsidR="0096297C" w:rsidRPr="00BF0000">
        <w:rPr>
          <w:rFonts w:ascii="仿宋_GB2312" w:eastAsia="仿宋_GB2312" w:hint="eastAsia"/>
          <w:sz w:val="32"/>
          <w:szCs w:val="32"/>
        </w:rPr>
        <w:t>。</w:t>
      </w:r>
    </w:p>
    <w:p w:rsidR="0071013C" w:rsidRPr="00BF0000" w:rsidRDefault="00405D1C" w:rsidP="00CE64C3">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二、</w:t>
      </w:r>
      <w:bookmarkStart w:id="2" w:name="OLE_LINK1"/>
      <w:bookmarkStart w:id="3" w:name="OLE_LINK2"/>
      <w:r w:rsidRPr="00BF0000">
        <w:rPr>
          <w:rFonts w:ascii="黑体" w:eastAsia="黑体" w:hAnsi="黑体" w:hint="eastAsia"/>
          <w:sz w:val="32"/>
          <w:szCs w:val="32"/>
        </w:rPr>
        <w:t>制定标准的意义和必要性</w:t>
      </w:r>
      <w:bookmarkEnd w:id="2"/>
      <w:bookmarkEnd w:id="3"/>
    </w:p>
    <w:p w:rsidR="00BF0000" w:rsidRPr="00020F82" w:rsidRDefault="00BF0000"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w:t>
      </w:r>
      <w:r w:rsidRPr="00020F82">
        <w:rPr>
          <w:rFonts w:ascii="楷体" w:eastAsia="楷体" w:hAnsi="楷体"/>
          <w:sz w:val="32"/>
          <w:szCs w:val="32"/>
        </w:rPr>
        <w:t>一）必要性</w:t>
      </w:r>
    </w:p>
    <w:p w:rsidR="00B12295" w:rsidRDefault="00B12295" w:rsidP="00063C4E">
      <w:pPr>
        <w:spacing w:line="560" w:lineRule="exact"/>
        <w:ind w:firstLineChars="200" w:firstLine="640"/>
        <w:rPr>
          <w:rFonts w:ascii="仿宋_GB2312" w:eastAsia="仿宋_GB2312"/>
          <w:sz w:val="32"/>
          <w:szCs w:val="32"/>
        </w:rPr>
      </w:pPr>
      <w:r w:rsidRPr="00B12295">
        <w:rPr>
          <w:rFonts w:ascii="仿宋_GB2312" w:eastAsia="仿宋_GB2312" w:hint="eastAsia"/>
          <w:sz w:val="32"/>
          <w:szCs w:val="32"/>
        </w:rPr>
        <w:t>现有石油化工企业反恐怖防范相关标准已运行多年，随着行业技术升级、生产规模扩张及反</w:t>
      </w:r>
      <w:proofErr w:type="gramStart"/>
      <w:r w:rsidRPr="00B12295">
        <w:rPr>
          <w:rFonts w:ascii="仿宋_GB2312" w:eastAsia="仿宋_GB2312" w:hint="eastAsia"/>
          <w:sz w:val="32"/>
          <w:szCs w:val="32"/>
        </w:rPr>
        <w:t>恐形势</w:t>
      </w:r>
      <w:proofErr w:type="gramEnd"/>
      <w:r w:rsidRPr="00B12295">
        <w:rPr>
          <w:rFonts w:ascii="仿宋_GB2312" w:eastAsia="仿宋_GB2312" w:hint="eastAsia"/>
          <w:sz w:val="32"/>
          <w:szCs w:val="32"/>
        </w:rPr>
        <w:t>的复杂变化，逐渐显现出适应性不足的问题：一方面，现有标准对新型生产装置（如大型一体化炼化装置、智能仓储系统）的防范要求</w:t>
      </w:r>
      <w:r w:rsidRPr="00B12295">
        <w:rPr>
          <w:rFonts w:ascii="仿宋_GB2312" w:eastAsia="仿宋_GB2312" w:hint="eastAsia"/>
          <w:sz w:val="32"/>
          <w:szCs w:val="32"/>
        </w:rPr>
        <w:lastRenderedPageBreak/>
        <w:t>缺失，对无人机抵近侦察袭击、网络攻击控制生产系统、针对危险化学品运输环节的恐怖威胁等新型风险的应对措施未作明确规定，难以满足当前全链条、多维度的防控需求；另一方面，地方石油化工企业在防范资源投入比例、反恐应急演练频次与场景设计、风险隐患排查治理闭环机制等方面缺乏统一指引，导致部分企业存在防范措施形式化、重点部位防控盲区、应急处置流程不规范等问题，无法形成常态化、标准化的反恐防范格局。</w:t>
      </w:r>
    </w:p>
    <w:p w:rsidR="00AA5B87" w:rsidRPr="00AA5B87" w:rsidRDefault="00B12295" w:rsidP="00063C4E">
      <w:pPr>
        <w:spacing w:line="560" w:lineRule="exact"/>
        <w:ind w:firstLineChars="200" w:firstLine="640"/>
        <w:rPr>
          <w:rFonts w:ascii="仿宋_GB2312" w:eastAsia="仿宋_GB2312"/>
          <w:sz w:val="32"/>
          <w:szCs w:val="32"/>
        </w:rPr>
      </w:pPr>
      <w:r w:rsidRPr="00B12295">
        <w:rPr>
          <w:rFonts w:ascii="仿宋_GB2312" w:eastAsia="仿宋_GB2312" w:hint="eastAsia"/>
          <w:sz w:val="32"/>
          <w:szCs w:val="32"/>
        </w:rPr>
        <w:t>近年来国家层面先后修订《反恐怖主义法》《危险化学品安全管理条例》等政策文件，对高危行业反恐防范提出更严格、更细致的要求，</w:t>
      </w:r>
      <w:r w:rsidR="00487384" w:rsidRPr="00487384">
        <w:rPr>
          <w:rFonts w:ascii="仿宋_GB2312" w:eastAsia="仿宋_GB2312" w:hint="eastAsia"/>
          <w:sz w:val="32"/>
          <w:szCs w:val="32"/>
        </w:rPr>
        <w:t>亟需制定符合当前形势的团体标准衔接上位法规，补齐防控短板。因此，制定本团体标准是解决当前行业反恐防范痛点、适应新形势新要求、提升地方石油化工企业安全治理能力的迫切需要，具有不可替代的现实必要性。</w:t>
      </w:r>
      <w:r w:rsidRPr="00AA5B87">
        <w:rPr>
          <w:rFonts w:ascii="仿宋_GB2312" w:eastAsia="仿宋_GB2312"/>
          <w:sz w:val="32"/>
          <w:szCs w:val="32"/>
        </w:rPr>
        <w:t xml:space="preserve"> </w:t>
      </w:r>
    </w:p>
    <w:p w:rsidR="00582A0D" w:rsidRPr="00020F82" w:rsidRDefault="00582A0D"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（二）意义</w:t>
      </w:r>
    </w:p>
    <w:p w:rsidR="00B12295" w:rsidRDefault="00B12295" w:rsidP="00063C4E">
      <w:pPr>
        <w:spacing w:line="560" w:lineRule="exact"/>
        <w:ind w:firstLineChars="200" w:firstLine="640"/>
        <w:rPr>
          <w:rFonts w:ascii="仿宋_GB2312" w:eastAsia="仿宋_GB2312"/>
          <w:sz w:val="32"/>
          <w:szCs w:val="32"/>
        </w:rPr>
      </w:pPr>
      <w:r w:rsidRPr="00B12295">
        <w:rPr>
          <w:rFonts w:ascii="仿宋_GB2312" w:eastAsia="仿宋_GB2312" w:hint="eastAsia"/>
          <w:sz w:val="32"/>
          <w:szCs w:val="32"/>
        </w:rPr>
        <w:t>石油化工企业作为能源供应与基础化工产品生产的核心载体，其生产流程涉及大量易燃易爆、有毒有害危险化学品，生产装置、储罐区、输送管网等关键设施一旦遭受恐怖袭击，不仅会造成重大人员伤亡与财产损失，还可能引发火灾爆炸、有毒物质泄漏等次生灾害，对周边生态环境、公共安全及区域经济运转造成长期且严重的破坏。</w:t>
      </w:r>
    </w:p>
    <w:p w:rsidR="00AA5B87" w:rsidRPr="00AA5B87" w:rsidRDefault="00487384" w:rsidP="00063C4E">
      <w:pPr>
        <w:spacing w:line="560" w:lineRule="exact"/>
        <w:ind w:firstLineChars="200" w:firstLine="640"/>
        <w:rPr>
          <w:rFonts w:ascii="仿宋_GB2312" w:eastAsia="仿宋_GB2312"/>
          <w:sz w:val="32"/>
          <w:szCs w:val="32"/>
        </w:rPr>
      </w:pPr>
      <w:r>
        <w:rPr>
          <w:rFonts w:ascii="仿宋_GB2312" w:eastAsia="仿宋_GB2312" w:hint="eastAsia"/>
          <w:sz w:val="32"/>
          <w:szCs w:val="32"/>
        </w:rPr>
        <w:t>制定</w:t>
      </w:r>
      <w:r w:rsidR="00B12295" w:rsidRPr="00B12295">
        <w:rPr>
          <w:rFonts w:ascii="仿宋_GB2312" w:eastAsia="仿宋_GB2312" w:hint="eastAsia"/>
          <w:sz w:val="32"/>
          <w:szCs w:val="32"/>
        </w:rPr>
        <w:t>《石油化工企业反恐怖防范要求》</w:t>
      </w:r>
      <w:r>
        <w:rPr>
          <w:rFonts w:ascii="仿宋_GB2312" w:eastAsia="仿宋_GB2312" w:hint="eastAsia"/>
          <w:sz w:val="32"/>
          <w:szCs w:val="32"/>
        </w:rPr>
        <w:t>团体</w:t>
      </w:r>
      <w:r w:rsidR="00B12295" w:rsidRPr="00B12295">
        <w:rPr>
          <w:rFonts w:ascii="仿宋_GB2312" w:eastAsia="仿宋_GB2312" w:hint="eastAsia"/>
          <w:sz w:val="32"/>
          <w:szCs w:val="32"/>
        </w:rPr>
        <w:t>标准，既是贯彻落实《反恐怖主义法》《安全生产法》等国家法律法规的</w:t>
      </w:r>
      <w:r w:rsidR="00B12295" w:rsidRPr="00B12295">
        <w:rPr>
          <w:rFonts w:ascii="仿宋_GB2312" w:eastAsia="仿宋_GB2312" w:hint="eastAsia"/>
          <w:sz w:val="32"/>
          <w:szCs w:val="32"/>
        </w:rPr>
        <w:lastRenderedPageBreak/>
        <w:t>必然要求，也是针对石油化工行业高风险特性构建精准化、系统化反恐防范体系的核心举措。通过明确企业重点部位防控等级、技术防范设施配置标准、人员安全管理规范及应急处置流程，能够有效提升石油化工企业对恐怖袭击的预警预判能力、风险抵御能力和应急响应能力，切实筑牢行业安全生产与公共安全防线，保障能源供应稳定与产业链安全，维护</w:t>
      </w:r>
      <w:bookmarkStart w:id="4" w:name="_GoBack"/>
      <w:r w:rsidR="00B12295" w:rsidRPr="00B12295">
        <w:rPr>
          <w:rFonts w:ascii="仿宋_GB2312" w:eastAsia="仿宋_GB2312" w:hint="eastAsia"/>
          <w:sz w:val="32"/>
          <w:szCs w:val="32"/>
        </w:rPr>
        <w:t>地方</w:t>
      </w:r>
      <w:bookmarkEnd w:id="4"/>
      <w:r w:rsidR="00B12295" w:rsidRPr="00B12295">
        <w:rPr>
          <w:rFonts w:ascii="仿宋_GB2312" w:eastAsia="仿宋_GB2312" w:hint="eastAsia"/>
          <w:sz w:val="32"/>
          <w:szCs w:val="32"/>
        </w:rPr>
        <w:t>社会大局稳定，为区域经济社会高质量发展提供坚实的安全保障。</w:t>
      </w:r>
    </w:p>
    <w:p w:rsidR="009C2D1E" w:rsidRPr="00BF0000" w:rsidRDefault="00F16B5C" w:rsidP="009C2D1E">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三、</w:t>
      </w:r>
      <w:r w:rsidR="009C2D1E" w:rsidRPr="00BF0000">
        <w:rPr>
          <w:rFonts w:ascii="黑体" w:eastAsia="黑体" w:hAnsi="黑体" w:hint="eastAsia"/>
          <w:sz w:val="32"/>
          <w:szCs w:val="32"/>
        </w:rPr>
        <w:t>主要</w:t>
      </w:r>
      <w:r w:rsidR="00487384">
        <w:rPr>
          <w:rFonts w:ascii="黑体" w:eastAsia="黑体" w:hAnsi="黑体" w:hint="eastAsia"/>
          <w:sz w:val="32"/>
          <w:szCs w:val="32"/>
        </w:rPr>
        <w:t>制定</w:t>
      </w:r>
      <w:r w:rsidR="009C2D1E" w:rsidRPr="00BF0000">
        <w:rPr>
          <w:rFonts w:ascii="黑体" w:eastAsia="黑体" w:hAnsi="黑体"/>
          <w:sz w:val="32"/>
          <w:szCs w:val="32"/>
        </w:rPr>
        <w:t>过程</w:t>
      </w:r>
    </w:p>
    <w:p w:rsidR="009C2D1E" w:rsidRPr="00020F82" w:rsidRDefault="009C2D1E"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（一）前期准备</w:t>
      </w:r>
    </w:p>
    <w:p w:rsidR="00E969BA" w:rsidRDefault="006C3C90" w:rsidP="00E52F18">
      <w:pPr>
        <w:ind w:firstLineChars="200" w:firstLine="640"/>
        <w:rPr>
          <w:rFonts w:ascii="仿宋_GB2312" w:eastAsia="仿宋_GB2312"/>
          <w:sz w:val="32"/>
          <w:szCs w:val="32"/>
        </w:rPr>
      </w:pPr>
      <w:r>
        <w:rPr>
          <w:rFonts w:ascii="仿宋_GB2312" w:eastAsia="仿宋_GB2312" w:hint="eastAsia"/>
          <w:sz w:val="32"/>
          <w:szCs w:val="32"/>
        </w:rPr>
        <w:t>标准起草工作组接到</w:t>
      </w:r>
      <w:r w:rsidR="00F16B5C" w:rsidRPr="00BF0000">
        <w:rPr>
          <w:rFonts w:ascii="仿宋_GB2312" w:eastAsia="仿宋_GB2312" w:hint="eastAsia"/>
          <w:sz w:val="32"/>
          <w:szCs w:val="32"/>
        </w:rPr>
        <w:t>《</w:t>
      </w:r>
      <w:r w:rsidR="00B12295">
        <w:rPr>
          <w:rFonts w:ascii="仿宋_GB2312" w:eastAsia="仿宋_GB2312" w:hint="eastAsia"/>
          <w:sz w:val="32"/>
          <w:szCs w:val="32"/>
        </w:rPr>
        <w:t>石油化工企业</w:t>
      </w:r>
      <w:r w:rsidR="009C2D1E" w:rsidRPr="00BF0000">
        <w:rPr>
          <w:rFonts w:ascii="仿宋_GB2312" w:eastAsia="仿宋_GB2312" w:hint="eastAsia"/>
          <w:sz w:val="32"/>
          <w:szCs w:val="32"/>
        </w:rPr>
        <w:t>反恐怖防范要求</w:t>
      </w:r>
      <w:r w:rsidR="00F16B5C" w:rsidRPr="00BF0000">
        <w:rPr>
          <w:rFonts w:ascii="仿宋_GB2312" w:eastAsia="仿宋_GB2312" w:hint="eastAsia"/>
          <w:sz w:val="32"/>
          <w:szCs w:val="32"/>
        </w:rPr>
        <w:t>》</w:t>
      </w:r>
      <w:r w:rsidR="00487384">
        <w:rPr>
          <w:rFonts w:ascii="仿宋_GB2312" w:eastAsia="仿宋_GB2312" w:hint="eastAsia"/>
          <w:sz w:val="32"/>
          <w:szCs w:val="32"/>
        </w:rPr>
        <w:t>团体</w:t>
      </w:r>
      <w:r w:rsidR="008C5D31" w:rsidRPr="00BF0000">
        <w:rPr>
          <w:rFonts w:ascii="仿宋_GB2312" w:eastAsia="仿宋_GB2312" w:hint="eastAsia"/>
          <w:sz w:val="32"/>
          <w:szCs w:val="32"/>
        </w:rPr>
        <w:t>标准</w:t>
      </w:r>
      <w:r w:rsidR="00487384">
        <w:rPr>
          <w:rFonts w:ascii="仿宋_GB2312" w:eastAsia="仿宋_GB2312" w:hint="eastAsia"/>
          <w:sz w:val="32"/>
          <w:szCs w:val="32"/>
        </w:rPr>
        <w:t>制定</w:t>
      </w:r>
      <w:r w:rsidR="00F16B5C" w:rsidRPr="00BF0000">
        <w:rPr>
          <w:rFonts w:ascii="仿宋_GB2312" w:eastAsia="仿宋_GB2312" w:hint="eastAsia"/>
          <w:sz w:val="32"/>
          <w:szCs w:val="32"/>
        </w:rPr>
        <w:t>任务后，</w:t>
      </w:r>
      <w:r w:rsidR="00CC2A05" w:rsidRPr="00BF0000">
        <w:rPr>
          <w:rFonts w:ascii="仿宋_GB2312" w:eastAsia="仿宋_GB2312" w:hint="eastAsia"/>
          <w:sz w:val="32"/>
          <w:szCs w:val="32"/>
        </w:rPr>
        <w:t>明确了工作指导思想，制定了工作原则，确定了任务分工，启动《</w:t>
      </w:r>
      <w:r w:rsidR="00B12295">
        <w:rPr>
          <w:rFonts w:ascii="仿宋_GB2312" w:eastAsia="仿宋_GB2312" w:hint="eastAsia"/>
          <w:sz w:val="32"/>
          <w:szCs w:val="32"/>
        </w:rPr>
        <w:t>石油化工企业</w:t>
      </w:r>
      <w:r w:rsidR="00CC2A05" w:rsidRPr="00BF0000">
        <w:rPr>
          <w:rFonts w:ascii="仿宋_GB2312" w:eastAsia="仿宋_GB2312" w:hint="eastAsia"/>
          <w:sz w:val="32"/>
          <w:szCs w:val="32"/>
        </w:rPr>
        <w:t>反恐怖防范要求》的</w:t>
      </w:r>
      <w:r w:rsidR="00487384">
        <w:rPr>
          <w:rFonts w:ascii="仿宋_GB2312" w:eastAsia="仿宋_GB2312" w:hint="eastAsia"/>
          <w:sz w:val="32"/>
          <w:szCs w:val="32"/>
        </w:rPr>
        <w:t>制定</w:t>
      </w:r>
      <w:r w:rsidR="00CC2A05" w:rsidRPr="00BF0000">
        <w:rPr>
          <w:rFonts w:ascii="仿宋_GB2312" w:eastAsia="仿宋_GB2312" w:hint="eastAsia"/>
          <w:sz w:val="32"/>
          <w:szCs w:val="32"/>
        </w:rPr>
        <w:t>工作</w:t>
      </w:r>
      <w:r w:rsidR="009C2D1E" w:rsidRPr="00BF0000">
        <w:rPr>
          <w:rFonts w:ascii="仿宋_GB2312" w:eastAsia="仿宋_GB2312" w:hint="eastAsia"/>
          <w:sz w:val="32"/>
          <w:szCs w:val="32"/>
        </w:rPr>
        <w:t>。</w:t>
      </w:r>
    </w:p>
    <w:p w:rsidR="002B13CD" w:rsidRPr="00020F82" w:rsidRDefault="00CC2A05"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（二）组成标准</w:t>
      </w:r>
      <w:r w:rsidR="00487384">
        <w:rPr>
          <w:rFonts w:ascii="楷体" w:eastAsia="楷体" w:hAnsi="楷体" w:hint="eastAsia"/>
          <w:sz w:val="32"/>
          <w:szCs w:val="32"/>
        </w:rPr>
        <w:t>制定</w:t>
      </w:r>
      <w:r w:rsidR="006C3C90" w:rsidRPr="00020F82">
        <w:rPr>
          <w:rFonts w:ascii="楷体" w:eastAsia="楷体" w:hAnsi="楷体" w:hint="eastAsia"/>
          <w:sz w:val="32"/>
          <w:szCs w:val="32"/>
        </w:rPr>
        <w:t>工作</w:t>
      </w:r>
      <w:r w:rsidRPr="00020F82">
        <w:rPr>
          <w:rFonts w:ascii="楷体" w:eastAsia="楷体" w:hAnsi="楷体" w:hint="eastAsia"/>
          <w:sz w:val="32"/>
          <w:szCs w:val="32"/>
        </w:rPr>
        <w:t>组，制定方案</w:t>
      </w:r>
    </w:p>
    <w:p w:rsidR="00816C7C" w:rsidRDefault="00816C7C" w:rsidP="001D7363">
      <w:pPr>
        <w:pStyle w:val="afa"/>
        <w:spacing w:after="0" w:line="60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标准</w:t>
      </w:r>
      <w:r w:rsidR="00487384">
        <w:rPr>
          <w:rFonts w:ascii="仿宋_GB2312" w:eastAsia="仿宋_GB2312" w:hAnsi="仿宋_GB2312" w:cs="仿宋_GB2312" w:hint="eastAsia"/>
          <w:sz w:val="32"/>
          <w:szCs w:val="32"/>
        </w:rPr>
        <w:t>制定</w:t>
      </w:r>
      <w:r w:rsidR="006C3C90">
        <w:rPr>
          <w:rFonts w:ascii="仿宋_GB2312" w:eastAsia="仿宋_GB2312" w:hAnsi="Times New Roman" w:hint="eastAsia"/>
          <w:sz w:val="32"/>
          <w:szCs w:val="32"/>
        </w:rPr>
        <w:t>工作</w:t>
      </w:r>
      <w:r>
        <w:rPr>
          <w:rFonts w:ascii="仿宋_GB2312" w:eastAsia="仿宋_GB2312" w:hAnsi="仿宋_GB2312" w:cs="仿宋_GB2312" w:hint="eastAsia"/>
          <w:sz w:val="32"/>
          <w:szCs w:val="32"/>
        </w:rPr>
        <w:t>人员主要由长期从事标准应用、编制的人员组成。并根据长期研究、实践过程中的经验，结合相关标准及资料的内容，完成了《</w:t>
      </w:r>
      <w:r w:rsidR="00B12295">
        <w:rPr>
          <w:rFonts w:ascii="仿宋_GB2312" w:eastAsia="仿宋_GB2312" w:hint="eastAsia"/>
          <w:sz w:val="32"/>
          <w:szCs w:val="32"/>
        </w:rPr>
        <w:t>石油化工企业</w:t>
      </w:r>
      <w:r w:rsidRPr="00BF0000">
        <w:rPr>
          <w:rFonts w:ascii="仿宋_GB2312" w:eastAsia="仿宋_GB2312" w:hAnsi="Times New Roman" w:hint="eastAsia"/>
          <w:sz w:val="32"/>
          <w:szCs w:val="32"/>
        </w:rPr>
        <w:t>反恐怖防范要求</w:t>
      </w:r>
      <w:r>
        <w:rPr>
          <w:rFonts w:ascii="仿宋_GB2312" w:eastAsia="仿宋_GB2312" w:hAnsi="仿宋_GB2312" w:cs="仿宋_GB2312" w:hint="eastAsia"/>
          <w:sz w:val="32"/>
          <w:szCs w:val="32"/>
        </w:rPr>
        <w:t>》</w:t>
      </w:r>
      <w:r w:rsidR="00487384">
        <w:rPr>
          <w:rFonts w:ascii="仿宋_GB2312" w:eastAsia="仿宋_GB2312" w:hAnsi="仿宋_GB2312" w:cs="仿宋_GB2312" w:hint="eastAsia"/>
          <w:sz w:val="32"/>
          <w:szCs w:val="32"/>
        </w:rPr>
        <w:t>团体</w:t>
      </w:r>
      <w:r>
        <w:rPr>
          <w:rFonts w:ascii="仿宋_GB2312" w:eastAsia="仿宋_GB2312" w:hAnsi="仿宋_GB2312" w:cs="仿宋_GB2312" w:hint="eastAsia"/>
          <w:sz w:val="32"/>
          <w:szCs w:val="32"/>
        </w:rPr>
        <w:t>标准</w:t>
      </w:r>
      <w:r w:rsidR="00487384">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的准备工作。</w:t>
      </w:r>
    </w:p>
    <w:p w:rsidR="001D7363" w:rsidRPr="00020F82" w:rsidRDefault="00816C7C"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（三）完善标准内容，形成标准征求意见稿</w:t>
      </w:r>
    </w:p>
    <w:p w:rsidR="000F38BA" w:rsidRPr="000F38BA" w:rsidRDefault="007563EC" w:rsidP="000F38B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2F5FB4" w:rsidRPr="002F5FB4">
        <w:rPr>
          <w:rFonts w:ascii="仿宋_GB2312" w:eastAsia="仿宋_GB2312" w:hAnsi="仿宋_GB2312" w:cs="仿宋_GB2312" w:hint="eastAsia"/>
          <w:sz w:val="32"/>
          <w:szCs w:val="32"/>
        </w:rPr>
        <w:t>工作思路与职责任务明确后，在搜集、整理和分析国内及自治区相关法律文件、相关标准和技术资料，对反恐怖防范有关材料进行整理汇总的基础上，在区内先后分头走访</w:t>
      </w:r>
      <w:r w:rsidR="002F5FB4" w:rsidRPr="002F5FB4">
        <w:rPr>
          <w:rFonts w:ascii="仿宋_GB2312" w:eastAsia="仿宋_GB2312" w:hAnsi="仿宋_GB2312" w:cs="仿宋_GB2312" w:hint="eastAsia"/>
          <w:sz w:val="32"/>
          <w:szCs w:val="32"/>
        </w:rPr>
        <w:lastRenderedPageBreak/>
        <w:t>相关机构进行调研，同时还选择区外重点城市进行考察，详细了解各地区反恐怖防范工作的共性特点，梳理前期实施标准总结出的问题，并征求各盟市对</w:t>
      </w:r>
      <w:r w:rsidR="00B12295">
        <w:rPr>
          <w:rFonts w:ascii="仿宋_GB2312" w:eastAsia="仿宋_GB2312" w:hint="eastAsia"/>
          <w:sz w:val="32"/>
          <w:szCs w:val="32"/>
        </w:rPr>
        <w:t>石油化工企业</w:t>
      </w:r>
      <w:r w:rsidR="002F5FB4" w:rsidRPr="002F5FB4">
        <w:rPr>
          <w:rFonts w:ascii="仿宋_GB2312" w:eastAsia="仿宋_GB2312" w:hAnsi="仿宋_GB2312" w:cs="仿宋_GB2312"/>
          <w:sz w:val="32"/>
          <w:szCs w:val="32"/>
        </w:rPr>
        <w:t>反恐怖防范工作</w:t>
      </w:r>
      <w:r w:rsidR="00487384">
        <w:rPr>
          <w:rFonts w:ascii="仿宋_GB2312" w:eastAsia="仿宋_GB2312" w:hAnsi="仿宋_GB2312" w:cs="仿宋_GB2312" w:hint="eastAsia"/>
          <w:sz w:val="32"/>
          <w:szCs w:val="32"/>
        </w:rPr>
        <w:t>团体</w:t>
      </w:r>
      <w:r w:rsidR="002F5FB4" w:rsidRPr="002F5FB4">
        <w:rPr>
          <w:rFonts w:ascii="仿宋_GB2312" w:eastAsia="仿宋_GB2312" w:hAnsi="仿宋_GB2312" w:cs="仿宋_GB2312" w:hint="eastAsia"/>
          <w:sz w:val="32"/>
          <w:szCs w:val="32"/>
        </w:rPr>
        <w:t>标准</w:t>
      </w:r>
      <w:r w:rsidR="00487384">
        <w:rPr>
          <w:rFonts w:ascii="仿宋_GB2312" w:eastAsia="仿宋_GB2312" w:hAnsi="仿宋_GB2312" w:cs="仿宋_GB2312" w:hint="eastAsia"/>
          <w:sz w:val="32"/>
          <w:szCs w:val="32"/>
        </w:rPr>
        <w:t>制定</w:t>
      </w:r>
      <w:r w:rsidR="002F5FB4" w:rsidRPr="002F5FB4">
        <w:rPr>
          <w:rFonts w:ascii="仿宋_GB2312" w:eastAsia="仿宋_GB2312" w:hAnsi="仿宋_GB2312" w:cs="仿宋_GB2312" w:hint="eastAsia"/>
          <w:sz w:val="32"/>
          <w:szCs w:val="32"/>
        </w:rPr>
        <w:t>工作的意见和建议。</w:t>
      </w:r>
    </w:p>
    <w:p w:rsidR="00516899" w:rsidRPr="00E52F18" w:rsidRDefault="007563EC" w:rsidP="00E52F1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006C3C90">
        <w:rPr>
          <w:rFonts w:ascii="仿宋_GB2312" w:eastAsia="仿宋_GB2312" w:hAnsi="仿宋_GB2312" w:cs="仿宋_GB2312" w:hint="eastAsia"/>
          <w:sz w:val="32"/>
          <w:szCs w:val="32"/>
        </w:rPr>
        <w:t>标准初稿完成后，</w:t>
      </w:r>
      <w:r w:rsidR="002F5FB4" w:rsidRPr="002F5FB4">
        <w:rPr>
          <w:rFonts w:ascii="仿宋_GB2312" w:eastAsia="仿宋_GB2312" w:hAnsi="仿宋_GB2312" w:cs="仿宋_GB2312" w:hint="eastAsia"/>
          <w:sz w:val="32"/>
          <w:szCs w:val="32"/>
        </w:rPr>
        <w:t>召开</w:t>
      </w:r>
      <w:r w:rsidR="006C3C90">
        <w:rPr>
          <w:rFonts w:ascii="仿宋_GB2312" w:eastAsia="仿宋_GB2312" w:hAnsi="仿宋_GB2312" w:cs="仿宋_GB2312" w:hint="eastAsia"/>
          <w:sz w:val="32"/>
          <w:szCs w:val="32"/>
        </w:rPr>
        <w:t>了</w:t>
      </w:r>
      <w:r w:rsidR="002F5FB4" w:rsidRPr="002F5FB4">
        <w:rPr>
          <w:rFonts w:ascii="仿宋_GB2312" w:eastAsia="仿宋_GB2312" w:hAnsi="仿宋_GB2312" w:cs="仿宋_GB2312" w:hint="eastAsia"/>
          <w:sz w:val="32"/>
          <w:szCs w:val="32"/>
        </w:rPr>
        <w:t>多次标准工作组会议，会议邀请领域专家研究讨论标准初稿，对标准的整体框架及各部分内容进行讨论，对编制过程中遇</w:t>
      </w:r>
      <w:r w:rsidR="002F5FB4">
        <w:rPr>
          <w:rFonts w:ascii="仿宋_GB2312" w:eastAsia="仿宋_GB2312" w:hAnsi="仿宋_GB2312" w:cs="仿宋_GB2312" w:hint="eastAsia"/>
          <w:sz w:val="32"/>
          <w:szCs w:val="32"/>
        </w:rPr>
        <w:t>到的疑问进行分析。为了使标准的框架合理、层次清晰、内容完善，</w:t>
      </w:r>
      <w:r w:rsidR="002F5FB4" w:rsidRPr="002F5FB4">
        <w:rPr>
          <w:rFonts w:ascii="仿宋_GB2312" w:eastAsia="仿宋_GB2312" w:hAnsi="仿宋_GB2312" w:cs="仿宋_GB2312" w:hint="eastAsia"/>
          <w:sz w:val="32"/>
          <w:szCs w:val="32"/>
        </w:rPr>
        <w:t>向全区各相关单位</w:t>
      </w:r>
      <w:r w:rsidR="00255E63">
        <w:rPr>
          <w:rFonts w:ascii="仿宋_GB2312" w:eastAsia="仿宋_GB2312" w:hAnsi="仿宋_GB2312" w:cs="仿宋_GB2312" w:hint="eastAsia"/>
          <w:sz w:val="32"/>
          <w:szCs w:val="32"/>
        </w:rPr>
        <w:t>和专家</w:t>
      </w:r>
      <w:r w:rsidR="00E52F18">
        <w:rPr>
          <w:rFonts w:ascii="仿宋_GB2312" w:eastAsia="仿宋_GB2312" w:hAnsi="仿宋_GB2312" w:cs="仿宋_GB2312" w:hint="eastAsia"/>
          <w:sz w:val="32"/>
          <w:szCs w:val="32"/>
        </w:rPr>
        <w:t>发函征求意见。</w:t>
      </w:r>
      <w:r w:rsidR="00E52F18" w:rsidRPr="008A4C73">
        <w:rPr>
          <w:rFonts w:ascii="仿宋_GB2312" w:eastAsia="仿宋_GB2312" w:hAnsi="仿宋_GB2312" w:cs="仿宋_GB2312"/>
          <w:sz w:val="32"/>
          <w:szCs w:val="32"/>
        </w:rPr>
        <w:t xml:space="preserve"> </w:t>
      </w:r>
    </w:p>
    <w:p w:rsidR="007563EC" w:rsidRDefault="007563EC" w:rsidP="007563E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四、制定标准的原则和依据，与现行法律、法规、标准的关系；</w:t>
      </w:r>
    </w:p>
    <w:p w:rsidR="007563EC" w:rsidRPr="00B3231A" w:rsidRDefault="007563EC" w:rsidP="007563EC">
      <w:pPr>
        <w:spacing w:line="600" w:lineRule="exact"/>
        <w:ind w:firstLineChars="200" w:firstLine="640"/>
        <w:rPr>
          <w:rFonts w:ascii="楷体" w:eastAsia="楷体" w:hAnsi="楷体"/>
          <w:sz w:val="32"/>
          <w:szCs w:val="32"/>
        </w:rPr>
      </w:pPr>
      <w:r w:rsidRPr="00B3231A">
        <w:rPr>
          <w:rFonts w:ascii="楷体" w:eastAsia="楷体" w:hAnsi="楷体" w:hint="eastAsia"/>
          <w:sz w:val="32"/>
          <w:szCs w:val="32"/>
        </w:rPr>
        <w:t>（一）编制原则</w:t>
      </w:r>
      <w:r w:rsidR="004E32B7" w:rsidRPr="00B3231A">
        <w:rPr>
          <w:rFonts w:ascii="楷体" w:eastAsia="楷体" w:hAnsi="楷体" w:hint="eastAsia"/>
          <w:sz w:val="32"/>
          <w:szCs w:val="32"/>
        </w:rPr>
        <w:t>和</w:t>
      </w:r>
      <w:r w:rsidR="004E32B7" w:rsidRPr="00B3231A">
        <w:rPr>
          <w:rFonts w:ascii="楷体" w:eastAsia="楷体" w:hAnsi="楷体"/>
          <w:sz w:val="32"/>
          <w:szCs w:val="32"/>
        </w:rPr>
        <w:t>依据</w:t>
      </w:r>
    </w:p>
    <w:p w:rsidR="007563EC" w:rsidRPr="004E32B7" w:rsidRDefault="004E32B7" w:rsidP="004E32B7">
      <w:pPr>
        <w:ind w:firstLine="640"/>
        <w:rPr>
          <w:rFonts w:ascii="仿宋_GB2312" w:eastAsia="仿宋_GB2312" w:hAnsi="仿宋_GB2312" w:cs="仿宋_GB2312"/>
          <w:sz w:val="32"/>
          <w:szCs w:val="32"/>
        </w:rPr>
      </w:pPr>
      <w:r w:rsidRPr="004E32B7">
        <w:rPr>
          <w:rFonts w:ascii="仿宋_GB2312" w:eastAsia="仿宋_GB2312" w:hAnsi="仿宋_GB2312" w:cs="仿宋_GB2312" w:hint="eastAsia"/>
          <w:sz w:val="32"/>
          <w:szCs w:val="32"/>
        </w:rPr>
        <w:t>该标准的编写内容与格式严格按照GB/T 1.1-20</w:t>
      </w:r>
      <w:r w:rsidRPr="004E32B7">
        <w:rPr>
          <w:rFonts w:ascii="仿宋_GB2312" w:eastAsia="仿宋_GB2312" w:hAnsi="仿宋_GB2312" w:cs="仿宋_GB2312"/>
          <w:sz w:val="32"/>
          <w:szCs w:val="32"/>
        </w:rPr>
        <w:t>20</w:t>
      </w:r>
      <w:r w:rsidRPr="004E32B7">
        <w:rPr>
          <w:rFonts w:ascii="仿宋_GB2312" w:eastAsia="仿宋_GB2312" w:hAnsi="仿宋_GB2312" w:cs="仿宋_GB2312" w:hint="eastAsia"/>
          <w:sz w:val="32"/>
          <w:szCs w:val="32"/>
        </w:rPr>
        <w:t>《标准化工作导则 第1部分：标准的结构和编写》的要求进行</w:t>
      </w:r>
      <w:r>
        <w:rPr>
          <w:rFonts w:ascii="仿宋_GB2312" w:eastAsia="仿宋_GB2312" w:hAnsi="Calibri" w:hint="eastAsia"/>
          <w:sz w:val="32"/>
          <w:szCs w:val="32"/>
        </w:rPr>
        <w:t>起草和编制</w:t>
      </w:r>
      <w:r w:rsidRPr="004E32B7">
        <w:rPr>
          <w:rFonts w:ascii="仿宋_GB2312" w:eastAsia="仿宋_GB2312" w:hAnsi="仿宋_GB2312" w:cs="仿宋_GB2312" w:hint="eastAsia"/>
          <w:sz w:val="32"/>
          <w:szCs w:val="32"/>
        </w:rPr>
        <w:t>，主要遵循了依法性、科学性、协调性、实用性原则。</w:t>
      </w:r>
    </w:p>
    <w:p w:rsidR="00582A0D" w:rsidRPr="00582A0D" w:rsidRDefault="002307C9" w:rsidP="00582A0D">
      <w:pPr>
        <w:ind w:firstLine="640"/>
        <w:rPr>
          <w:rFonts w:ascii="仿宋_GB2312" w:eastAsia="仿宋_GB2312" w:hAnsi="仿宋_GB2312" w:cs="仿宋_GB2312"/>
          <w:sz w:val="32"/>
          <w:szCs w:val="32"/>
        </w:rPr>
      </w:pPr>
      <w:r w:rsidRPr="002307C9">
        <w:rPr>
          <w:rFonts w:ascii="仿宋_GB2312" w:eastAsia="仿宋_GB2312" w:hAnsi="仿宋_GB2312" w:cs="仿宋_GB2312" w:hint="eastAsia"/>
          <w:sz w:val="32"/>
          <w:szCs w:val="32"/>
        </w:rPr>
        <w:t>该标准编制过程中，主要以《反恐怖主义法》为法律依据，按照</w:t>
      </w:r>
      <w:r w:rsidRPr="006C3C90">
        <w:rPr>
          <w:rFonts w:ascii="仿宋_GB2312" w:eastAsia="仿宋_GB2312" w:hAnsi="仿宋_GB2312" w:cs="仿宋_GB2312" w:hint="eastAsia"/>
          <w:sz w:val="32"/>
          <w:szCs w:val="32"/>
        </w:rPr>
        <w:t>《内蒙古自治区行业（部门）反恐怖防范标准》</w:t>
      </w:r>
      <w:r w:rsidRPr="002307C9">
        <w:rPr>
          <w:rFonts w:ascii="仿宋_GB2312" w:eastAsia="仿宋_GB2312" w:hAnsi="仿宋_GB2312" w:cs="仿宋_GB2312" w:hint="eastAsia"/>
          <w:sz w:val="32"/>
          <w:szCs w:val="32"/>
        </w:rPr>
        <w:t>的技术内容和具体防范要求、结合了</w:t>
      </w:r>
      <w:r w:rsidR="00582A0D" w:rsidRPr="00582A0D">
        <w:rPr>
          <w:rFonts w:ascii="仿宋_GB2312" w:eastAsia="仿宋_GB2312" w:hAnsi="仿宋_GB2312" w:cs="仿宋_GB2312"/>
          <w:sz w:val="32"/>
          <w:szCs w:val="32"/>
        </w:rPr>
        <w:t>《</w:t>
      </w:r>
      <w:r w:rsidR="00B12295">
        <w:rPr>
          <w:rFonts w:ascii="仿宋_GB2312" w:eastAsia="仿宋_GB2312" w:hint="eastAsia"/>
          <w:sz w:val="32"/>
          <w:szCs w:val="32"/>
        </w:rPr>
        <w:t>石油化工企业</w:t>
      </w:r>
      <w:r w:rsidR="00582A0D" w:rsidRPr="00582A0D">
        <w:rPr>
          <w:rFonts w:ascii="仿宋_GB2312" w:eastAsia="仿宋_GB2312" w:hAnsi="仿宋_GB2312" w:cs="仿宋_GB2312" w:hint="eastAsia"/>
          <w:sz w:val="32"/>
          <w:szCs w:val="32"/>
        </w:rPr>
        <w:t>技术规范</w:t>
      </w:r>
      <w:r w:rsidR="00582A0D" w:rsidRPr="00582A0D">
        <w:rPr>
          <w:rFonts w:ascii="仿宋_GB2312" w:eastAsia="仿宋_GB2312" w:hAnsi="仿宋_GB2312" w:cs="仿宋_GB2312"/>
          <w:sz w:val="32"/>
          <w:szCs w:val="32"/>
        </w:rPr>
        <w:t>》</w:t>
      </w:r>
      <w:r w:rsidR="00582A0D" w:rsidRPr="00582A0D">
        <w:rPr>
          <w:rFonts w:ascii="仿宋_GB2312" w:eastAsia="仿宋_GB2312" w:hAnsi="仿宋_GB2312" w:cs="仿宋_GB2312" w:hint="eastAsia"/>
          <w:sz w:val="32"/>
          <w:szCs w:val="32"/>
        </w:rPr>
        <w:t>的规定制定本标准。</w:t>
      </w:r>
    </w:p>
    <w:p w:rsidR="007563EC" w:rsidRPr="002307C9" w:rsidRDefault="00582A0D" w:rsidP="002307C9">
      <w:pPr>
        <w:ind w:firstLine="640"/>
        <w:rPr>
          <w:rFonts w:ascii="仿宋_GB2312" w:eastAsia="仿宋_GB2312" w:hAnsi="仿宋_GB2312" w:cs="仿宋_GB2312"/>
          <w:sz w:val="32"/>
          <w:szCs w:val="32"/>
        </w:rPr>
      </w:pPr>
      <w:r>
        <w:rPr>
          <w:rFonts w:ascii="仿宋_GB2312" w:eastAsia="仿宋_GB2312" w:hAnsi="Calibri" w:hint="eastAsia"/>
          <w:sz w:val="32"/>
          <w:szCs w:val="32"/>
        </w:rPr>
        <w:t>本标准编制所依据的</w:t>
      </w:r>
      <w:r w:rsidR="007563EC">
        <w:rPr>
          <w:rFonts w:ascii="仿宋_GB2312" w:eastAsia="仿宋_GB2312" w:hAnsi="Calibri" w:hint="eastAsia"/>
          <w:sz w:val="32"/>
          <w:szCs w:val="32"/>
        </w:rPr>
        <w:t>标准主要有：</w:t>
      </w:r>
      <w:r w:rsidR="002307C9">
        <w:rPr>
          <w:rFonts w:ascii="仿宋_GB2312" w:eastAsia="仿宋_GB2312" w:hAnsi="Calibri" w:hint="eastAsia"/>
          <w:sz w:val="32"/>
          <w:szCs w:val="32"/>
        </w:rPr>
        <w:t xml:space="preserve">GA </w:t>
      </w:r>
      <w:r w:rsidR="00B12295">
        <w:rPr>
          <w:rFonts w:ascii="仿宋_GB2312" w:eastAsia="仿宋_GB2312" w:hAnsi="Calibri"/>
          <w:sz w:val="32"/>
          <w:szCs w:val="32"/>
        </w:rPr>
        <w:t>1551.2</w:t>
      </w:r>
      <w:r w:rsidR="002307C9">
        <w:rPr>
          <w:rFonts w:ascii="仿宋_GB2312" w:eastAsia="仿宋_GB2312" w:hAnsi="Calibri" w:hint="eastAsia"/>
          <w:sz w:val="32"/>
          <w:szCs w:val="32"/>
        </w:rPr>
        <w:t>-20</w:t>
      </w:r>
      <w:r w:rsidR="00B12295">
        <w:rPr>
          <w:rFonts w:ascii="仿宋_GB2312" w:eastAsia="仿宋_GB2312" w:hAnsi="Calibri"/>
          <w:sz w:val="32"/>
          <w:szCs w:val="32"/>
        </w:rPr>
        <w:t>19</w:t>
      </w:r>
      <w:r w:rsidR="00C5185E">
        <w:rPr>
          <w:rFonts w:ascii="仿宋_GB2312" w:eastAsia="仿宋_GB2312" w:hAnsi="Calibri" w:hint="eastAsia"/>
          <w:sz w:val="32"/>
          <w:szCs w:val="32"/>
        </w:rPr>
        <w:t>《</w:t>
      </w:r>
      <w:r w:rsidR="00B12295">
        <w:rPr>
          <w:rFonts w:ascii="仿宋_GB2312" w:eastAsia="仿宋_GB2312" w:hAnsi="Calibri" w:hint="eastAsia"/>
          <w:sz w:val="32"/>
          <w:szCs w:val="32"/>
        </w:rPr>
        <w:t>石油石化</w:t>
      </w:r>
      <w:r w:rsidR="00B12295">
        <w:rPr>
          <w:rFonts w:ascii="仿宋_GB2312" w:eastAsia="仿宋_GB2312" w:hAnsi="Calibri"/>
          <w:sz w:val="32"/>
          <w:szCs w:val="32"/>
        </w:rPr>
        <w:t>系统治安反恐防范要求第</w:t>
      </w:r>
      <w:r w:rsidR="00B12295">
        <w:rPr>
          <w:rFonts w:ascii="仿宋_GB2312" w:eastAsia="仿宋_GB2312" w:hAnsi="Calibri" w:hint="eastAsia"/>
          <w:sz w:val="32"/>
          <w:szCs w:val="32"/>
        </w:rPr>
        <w:t>2部分</w:t>
      </w:r>
      <w:r w:rsidR="00B12295">
        <w:rPr>
          <w:rFonts w:ascii="仿宋_GB2312" w:eastAsia="仿宋_GB2312" w:hAnsi="Calibri"/>
          <w:sz w:val="32"/>
          <w:szCs w:val="32"/>
        </w:rPr>
        <w:t>：炼油与化工企业</w:t>
      </w:r>
      <w:r w:rsidR="00C5185E">
        <w:rPr>
          <w:rFonts w:ascii="仿宋_GB2312" w:eastAsia="仿宋_GB2312" w:hAnsi="Calibri" w:hint="eastAsia"/>
          <w:sz w:val="32"/>
          <w:szCs w:val="32"/>
        </w:rPr>
        <w:t>》</w:t>
      </w:r>
      <w:r w:rsidR="00C5185E">
        <w:rPr>
          <w:rFonts w:ascii="仿宋_GB2312" w:eastAsia="仿宋_GB2312" w:hAnsi="Calibri"/>
          <w:sz w:val="32"/>
          <w:szCs w:val="32"/>
        </w:rPr>
        <w:t>。</w:t>
      </w:r>
    </w:p>
    <w:p w:rsidR="007563EC" w:rsidRPr="00B3231A" w:rsidRDefault="007563EC" w:rsidP="007563EC">
      <w:pPr>
        <w:spacing w:line="600" w:lineRule="exact"/>
        <w:ind w:firstLineChars="200" w:firstLine="640"/>
        <w:rPr>
          <w:rFonts w:ascii="楷体" w:eastAsia="楷体" w:hAnsi="楷体"/>
          <w:sz w:val="32"/>
          <w:szCs w:val="32"/>
        </w:rPr>
      </w:pPr>
      <w:r w:rsidRPr="00B3231A">
        <w:rPr>
          <w:rFonts w:ascii="楷体" w:eastAsia="楷体" w:hAnsi="楷体" w:hint="eastAsia"/>
          <w:sz w:val="32"/>
          <w:szCs w:val="32"/>
        </w:rPr>
        <w:lastRenderedPageBreak/>
        <w:t>（</w:t>
      </w:r>
      <w:r w:rsidR="002307C9" w:rsidRPr="00B3231A">
        <w:rPr>
          <w:rFonts w:ascii="楷体" w:eastAsia="楷体" w:hAnsi="楷体" w:hint="eastAsia"/>
          <w:sz w:val="32"/>
          <w:szCs w:val="32"/>
        </w:rPr>
        <w:t>二</w:t>
      </w:r>
      <w:r w:rsidRPr="00B3231A">
        <w:rPr>
          <w:rFonts w:ascii="楷体" w:eastAsia="楷体" w:hAnsi="楷体" w:hint="eastAsia"/>
          <w:sz w:val="32"/>
          <w:szCs w:val="32"/>
        </w:rPr>
        <w:t>）与现行法律、法规、标准的关系</w:t>
      </w:r>
    </w:p>
    <w:p w:rsidR="007563EC" w:rsidRPr="004E32B7" w:rsidRDefault="007563EC" w:rsidP="004E32B7">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本标准编制以我国现行相关法律、法规标准为依据，按GB/T 1.1—2020《标准化工作导则  第1部分：标准化文件的结构和起草规则》的要求进行</w:t>
      </w:r>
      <w:r w:rsidR="00487384">
        <w:rPr>
          <w:rFonts w:ascii="仿宋_GB2312" w:eastAsia="仿宋_GB2312" w:hAnsi="Calibri" w:hint="eastAsia"/>
          <w:sz w:val="32"/>
          <w:szCs w:val="32"/>
        </w:rPr>
        <w:t>制定</w:t>
      </w:r>
      <w:r>
        <w:rPr>
          <w:rFonts w:ascii="仿宋_GB2312" w:eastAsia="仿宋_GB2312" w:hAnsi="Calibri" w:hint="eastAsia"/>
          <w:sz w:val="32"/>
          <w:szCs w:val="32"/>
        </w:rPr>
        <w:t>，并与我国现行的相关法律、法规、标准协调一致。</w:t>
      </w:r>
    </w:p>
    <w:p w:rsidR="00C07611" w:rsidRPr="00C07611" w:rsidRDefault="00C07611" w:rsidP="00C07611">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五、主要条款内容的解释说明</w:t>
      </w:r>
    </w:p>
    <w:p w:rsidR="00582A0D" w:rsidRPr="00582A0D" w:rsidRDefault="00601E72" w:rsidP="00582A0D">
      <w:pPr>
        <w:pStyle w:val="af2"/>
        <w:spacing w:line="600" w:lineRule="exact"/>
        <w:ind w:firstLine="640"/>
        <w:rPr>
          <w:rFonts w:ascii="仿宋_GB2312" w:eastAsia="仿宋_GB2312" w:hAnsi="Calibri"/>
          <w:sz w:val="32"/>
          <w:szCs w:val="32"/>
        </w:rPr>
      </w:pPr>
      <w:r>
        <w:rPr>
          <w:rFonts w:ascii="仿宋_GB2312" w:eastAsia="仿宋_GB2312" w:hAnsi="Calibri" w:hint="eastAsia"/>
          <w:sz w:val="32"/>
          <w:szCs w:val="32"/>
        </w:rPr>
        <w:t>本文件按照GB/T1.1</w:t>
      </w:r>
      <w:proofErr w:type="gramStart"/>
      <w:r>
        <w:rPr>
          <w:rFonts w:ascii="仿宋_GB2312" w:eastAsia="仿宋_GB2312" w:hAnsi="Calibri" w:hint="eastAsia"/>
          <w:sz w:val="32"/>
          <w:szCs w:val="32"/>
        </w:rPr>
        <w:t>一2020</w:t>
      </w:r>
      <w:proofErr w:type="gramEnd"/>
      <w:r>
        <w:rPr>
          <w:rFonts w:ascii="仿宋_GB2312" w:eastAsia="仿宋_GB2312" w:hAnsi="Calibri" w:hint="eastAsia"/>
          <w:sz w:val="32"/>
          <w:szCs w:val="32"/>
        </w:rPr>
        <w:t>《标准化工作导则 第1部分：标准化文件的结构和起草规则》的规定起草。本文件代替</w:t>
      </w:r>
      <w:r>
        <w:rPr>
          <w:rFonts w:ascii="仿宋_GB2312" w:eastAsia="仿宋_GB2312" w:hAnsi="Calibri"/>
          <w:sz w:val="32"/>
          <w:szCs w:val="32"/>
        </w:rPr>
        <w:t xml:space="preserve">DB15/T </w:t>
      </w:r>
      <w:r w:rsidR="00582A0D">
        <w:rPr>
          <w:rFonts w:ascii="仿宋_GB2312" w:eastAsia="仿宋_GB2312" w:hAnsi="Calibri"/>
          <w:sz w:val="32"/>
          <w:szCs w:val="32"/>
        </w:rPr>
        <w:t>120</w:t>
      </w:r>
      <w:r w:rsidR="00E52F18">
        <w:rPr>
          <w:rFonts w:ascii="仿宋_GB2312" w:eastAsia="仿宋_GB2312" w:hAnsi="Calibri"/>
          <w:sz w:val="32"/>
          <w:szCs w:val="32"/>
        </w:rPr>
        <w:t>7</w:t>
      </w:r>
      <w:r>
        <w:rPr>
          <w:rFonts w:ascii="仿宋_GB2312" w:eastAsia="仿宋_GB2312" w:hAnsi="Calibri"/>
          <w:sz w:val="32"/>
          <w:szCs w:val="32"/>
        </w:rPr>
        <w:t>-2017</w:t>
      </w:r>
      <w:r>
        <w:rPr>
          <w:rFonts w:ascii="仿宋_GB2312" w:eastAsia="仿宋_GB2312" w:hAnsi="Calibri" w:hint="eastAsia"/>
          <w:sz w:val="32"/>
          <w:szCs w:val="32"/>
        </w:rPr>
        <w:t>《</w:t>
      </w:r>
      <w:r w:rsidR="00B12295">
        <w:rPr>
          <w:rFonts w:ascii="仿宋_GB2312" w:eastAsia="仿宋_GB2312" w:hint="eastAsia"/>
          <w:sz w:val="32"/>
          <w:szCs w:val="32"/>
        </w:rPr>
        <w:t>石油化工企业</w:t>
      </w:r>
      <w:r>
        <w:rPr>
          <w:rFonts w:ascii="仿宋_GB2312" w:eastAsia="仿宋_GB2312" w:hAnsi="Calibri"/>
          <w:sz w:val="32"/>
          <w:szCs w:val="32"/>
        </w:rPr>
        <w:t>反恐怖防范要求</w:t>
      </w:r>
      <w:r>
        <w:rPr>
          <w:rFonts w:ascii="仿宋_GB2312" w:eastAsia="仿宋_GB2312" w:hAnsi="Calibri" w:hint="eastAsia"/>
          <w:sz w:val="32"/>
          <w:szCs w:val="32"/>
        </w:rPr>
        <w:t>》，与</w:t>
      </w:r>
      <w:r>
        <w:rPr>
          <w:rFonts w:ascii="仿宋_GB2312" w:eastAsia="仿宋_GB2312" w:hAnsi="Calibri"/>
          <w:sz w:val="32"/>
          <w:szCs w:val="32"/>
        </w:rPr>
        <w:t xml:space="preserve">DB15/T </w:t>
      </w:r>
      <w:r w:rsidR="00582A0D">
        <w:rPr>
          <w:rFonts w:ascii="仿宋_GB2312" w:eastAsia="仿宋_GB2312" w:hAnsi="Calibri"/>
          <w:sz w:val="32"/>
          <w:szCs w:val="32"/>
        </w:rPr>
        <w:t>12</w:t>
      </w:r>
      <w:r w:rsidR="00E52F18">
        <w:rPr>
          <w:rFonts w:ascii="仿宋_GB2312" w:eastAsia="仿宋_GB2312" w:hAnsi="Calibri"/>
          <w:sz w:val="32"/>
          <w:szCs w:val="32"/>
        </w:rPr>
        <w:t>07</w:t>
      </w:r>
      <w:r>
        <w:rPr>
          <w:rFonts w:ascii="仿宋_GB2312" w:eastAsia="仿宋_GB2312" w:hAnsi="Calibri"/>
          <w:sz w:val="32"/>
          <w:szCs w:val="32"/>
        </w:rPr>
        <w:t>-2017</w:t>
      </w:r>
      <w:r>
        <w:rPr>
          <w:rFonts w:ascii="仿宋_GB2312" w:eastAsia="仿宋_GB2312" w:hAnsi="Calibri" w:hint="eastAsia"/>
          <w:sz w:val="32"/>
          <w:szCs w:val="32"/>
        </w:rPr>
        <w:t>相比，</w:t>
      </w:r>
      <w:r w:rsidR="00487384" w:rsidRPr="00487384">
        <w:rPr>
          <w:rFonts w:ascii="仿宋_GB2312" w:eastAsia="仿宋_GB2312" w:hAnsi="Calibri" w:hint="eastAsia"/>
          <w:sz w:val="32"/>
          <w:szCs w:val="32"/>
        </w:rPr>
        <w:t>标准属性转为团体标准</w:t>
      </w:r>
      <w:r>
        <w:rPr>
          <w:rFonts w:ascii="仿宋_GB2312" w:eastAsia="仿宋_GB2312" w:hAnsi="Calibri" w:hint="eastAsia"/>
          <w:sz w:val="32"/>
          <w:szCs w:val="32"/>
        </w:rPr>
        <w:t>除结构调整和编辑性改动外，主要技术变化如下：</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sidRPr="008C19B3">
        <w:rPr>
          <w:rFonts w:ascii="仿宋_GB2312" w:eastAsia="仿宋_GB2312" w:hAnsi="仿宋_GB2312" w:cs="仿宋_GB2312" w:hint="eastAsia"/>
          <w:sz w:val="32"/>
          <w:szCs w:val="32"/>
        </w:rPr>
        <w:t>更改了文件的范围（见第1章，2017年版的第1章）；</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Pr="008C19B3">
        <w:rPr>
          <w:rFonts w:ascii="仿宋_GB2312" w:eastAsia="仿宋_GB2312" w:hAnsi="仿宋_GB2312" w:cs="仿宋_GB2312" w:hint="eastAsia"/>
          <w:sz w:val="32"/>
          <w:szCs w:val="32"/>
        </w:rPr>
        <w:t>更改了规范性文件的内容（见第2章，2017年版的第2章）；</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sidRPr="008C19B3">
        <w:rPr>
          <w:rFonts w:ascii="仿宋_GB2312" w:eastAsia="仿宋_GB2312" w:hAnsi="仿宋_GB2312" w:cs="仿宋_GB2312" w:hint="eastAsia"/>
          <w:sz w:val="32"/>
          <w:szCs w:val="32"/>
        </w:rPr>
        <w:t>增加了重点目标内容（见第4章）,更改了重点部位的内容（见第4章，2017年版的第5章）；</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4.</w:t>
      </w:r>
      <w:r w:rsidRPr="008C19B3">
        <w:rPr>
          <w:rFonts w:ascii="仿宋_GB2312" w:eastAsia="仿宋_GB2312" w:hAnsi="仿宋_GB2312" w:cs="仿宋_GB2312" w:hint="eastAsia"/>
          <w:sz w:val="32"/>
          <w:szCs w:val="32"/>
        </w:rPr>
        <w:t>增加了重点目标等级和防范级别内容（见第5章）；</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5.</w:t>
      </w:r>
      <w:r w:rsidRPr="008C19B3">
        <w:rPr>
          <w:rFonts w:ascii="仿宋_GB2312" w:eastAsia="仿宋_GB2312" w:hAnsi="仿宋_GB2312" w:cs="仿宋_GB2312" w:hint="eastAsia"/>
          <w:sz w:val="32"/>
          <w:szCs w:val="32"/>
        </w:rPr>
        <w:t>更改了总体要求的内容（见第6章，2017年版的第4章）；</w:t>
      </w:r>
    </w:p>
    <w:p w:rsidR="00E52F18"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6.</w:t>
      </w:r>
      <w:r w:rsidRPr="008C19B3">
        <w:rPr>
          <w:rFonts w:ascii="仿宋_GB2312" w:eastAsia="仿宋_GB2312" w:hAnsi="仿宋_GB2312" w:cs="仿宋_GB2312" w:hint="eastAsia"/>
          <w:sz w:val="32"/>
          <w:szCs w:val="32"/>
        </w:rPr>
        <w:t>更改了常态反恐怖防范内容（见第7章、第8章、第9章，2017年版的第6章），删除了人防配置表、技防配</w:t>
      </w:r>
      <w:r w:rsidRPr="008C19B3">
        <w:rPr>
          <w:rFonts w:ascii="仿宋_GB2312" w:eastAsia="仿宋_GB2312" w:hAnsi="仿宋_GB2312" w:cs="仿宋_GB2312" w:hint="eastAsia"/>
          <w:sz w:val="32"/>
          <w:szCs w:val="32"/>
        </w:rPr>
        <w:lastRenderedPageBreak/>
        <w:t>置表、物防配置表（见2017年版的表1、表2、表3）</w:t>
      </w:r>
      <w:r w:rsidR="00E52F18">
        <w:rPr>
          <w:rFonts w:ascii="仿宋_GB2312" w:eastAsia="仿宋_GB2312" w:hAnsi="仿宋_GB2312" w:cs="仿宋_GB2312"/>
          <w:sz w:val="32"/>
          <w:szCs w:val="32"/>
        </w:rPr>
        <w:t>1.</w:t>
      </w:r>
      <w:r w:rsidR="00E52F18" w:rsidRPr="00E52F18">
        <w:rPr>
          <w:rFonts w:ascii="仿宋_GB2312" w:eastAsia="仿宋_GB2312" w:hAnsi="仿宋_GB2312" w:cs="仿宋_GB2312" w:hint="eastAsia"/>
          <w:sz w:val="32"/>
          <w:szCs w:val="32"/>
        </w:rPr>
        <w:t>更改了标准的名称；</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7.</w:t>
      </w:r>
      <w:r w:rsidRPr="008C19B3">
        <w:rPr>
          <w:rFonts w:ascii="仿宋_GB2312" w:eastAsia="仿宋_GB2312" w:hAnsi="仿宋_GB2312" w:cs="仿宋_GB2312" w:hint="eastAsia"/>
          <w:sz w:val="32"/>
          <w:szCs w:val="32"/>
        </w:rPr>
        <w:t>更改了非常态反恐怖防范内容（见第10章，2017年版的第7章）；</w:t>
      </w:r>
    </w:p>
    <w:p w:rsidR="008C19B3" w:rsidRPr="008C19B3"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8.</w:t>
      </w:r>
      <w:r w:rsidRPr="008C19B3">
        <w:rPr>
          <w:rFonts w:ascii="仿宋_GB2312" w:eastAsia="仿宋_GB2312" w:hAnsi="仿宋_GB2312" w:cs="仿宋_GB2312" w:hint="eastAsia"/>
          <w:sz w:val="32"/>
          <w:szCs w:val="32"/>
        </w:rPr>
        <w:t>增加了安全防范系统技术要求内容（见第11章）；</w:t>
      </w:r>
    </w:p>
    <w:p w:rsidR="008C19B3" w:rsidRPr="00E52F18" w:rsidRDefault="008C19B3" w:rsidP="008C19B3">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9.</w:t>
      </w:r>
      <w:r w:rsidRPr="008C19B3">
        <w:rPr>
          <w:rFonts w:ascii="仿宋_GB2312" w:eastAsia="仿宋_GB2312" w:hAnsi="仿宋_GB2312" w:cs="仿宋_GB2312" w:hint="eastAsia"/>
          <w:sz w:val="32"/>
          <w:szCs w:val="32"/>
        </w:rPr>
        <w:t>增加了附录A常态反恐怖防范配置（见附录A表A.1、表A.2、表A.3）</w:t>
      </w:r>
      <w:r>
        <w:rPr>
          <w:rFonts w:ascii="仿宋_GB2312" w:eastAsia="仿宋_GB2312" w:hAnsi="仿宋_GB2312" w:cs="仿宋_GB2312" w:hint="eastAsia"/>
          <w:sz w:val="32"/>
          <w:szCs w:val="32"/>
        </w:rPr>
        <w:t>。</w:t>
      </w:r>
    </w:p>
    <w:p w:rsidR="00012953" w:rsidRPr="00C07611" w:rsidRDefault="00012953" w:rsidP="00C07611">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六、重大意见分歧的处理依据和结果</w:t>
      </w:r>
    </w:p>
    <w:p w:rsidR="00012953" w:rsidRPr="00C07611" w:rsidRDefault="00012953" w:rsidP="00C07611">
      <w:pPr>
        <w:widowControl/>
        <w:spacing w:line="600" w:lineRule="exact"/>
        <w:ind w:firstLineChars="200" w:firstLine="640"/>
        <w:jc w:val="left"/>
        <w:rPr>
          <w:rFonts w:ascii="仿宋_GB2312" w:eastAsia="仿宋_GB2312" w:hAnsi="Calibri"/>
          <w:sz w:val="32"/>
          <w:szCs w:val="32"/>
        </w:rPr>
      </w:pPr>
      <w:r w:rsidRPr="00C07611">
        <w:rPr>
          <w:rFonts w:ascii="仿宋_GB2312" w:eastAsia="仿宋_GB2312" w:hAnsi="Calibri" w:hint="eastAsia"/>
          <w:sz w:val="32"/>
          <w:szCs w:val="32"/>
        </w:rPr>
        <w:t>无</w:t>
      </w:r>
      <w:r w:rsidR="006C3C90">
        <w:rPr>
          <w:rFonts w:ascii="仿宋_GB2312" w:eastAsia="仿宋_GB2312" w:hAnsi="Calibri" w:hint="eastAsia"/>
          <w:sz w:val="32"/>
          <w:szCs w:val="32"/>
        </w:rPr>
        <w:t>。</w:t>
      </w:r>
    </w:p>
    <w:p w:rsidR="00012953" w:rsidRPr="00C07611" w:rsidRDefault="00481E38" w:rsidP="00A54228">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七</w:t>
      </w:r>
      <w:r w:rsidR="00022CED">
        <w:rPr>
          <w:rFonts w:ascii="黑体" w:eastAsia="黑体" w:hAnsi="黑体" w:hint="eastAsia"/>
          <w:sz w:val="32"/>
          <w:szCs w:val="32"/>
        </w:rPr>
        <w:t>、</w:t>
      </w:r>
      <w:r w:rsidR="008D62C6">
        <w:rPr>
          <w:rFonts w:ascii="黑体" w:eastAsia="黑体" w:hAnsi="黑体" w:hint="eastAsia"/>
          <w:sz w:val="32"/>
          <w:szCs w:val="32"/>
        </w:rPr>
        <w:t>采用</w:t>
      </w:r>
      <w:r w:rsidR="008D62C6">
        <w:rPr>
          <w:rFonts w:ascii="黑体" w:eastAsia="黑体" w:hAnsi="黑体"/>
          <w:sz w:val="32"/>
          <w:szCs w:val="32"/>
        </w:rPr>
        <w:t>国际标准或国外先进标准的，说明采标</w:t>
      </w:r>
      <w:r w:rsidR="008D62C6">
        <w:rPr>
          <w:rFonts w:ascii="黑体" w:eastAsia="黑体" w:hAnsi="黑体" w:hint="eastAsia"/>
          <w:sz w:val="32"/>
          <w:szCs w:val="32"/>
        </w:rPr>
        <w:t>程度</w:t>
      </w:r>
      <w:r w:rsidR="008D62C6">
        <w:rPr>
          <w:rFonts w:ascii="黑体" w:eastAsia="黑体" w:hAnsi="黑体"/>
          <w:sz w:val="32"/>
          <w:szCs w:val="32"/>
        </w:rPr>
        <w:t>，</w:t>
      </w:r>
      <w:r w:rsidR="008D62C6">
        <w:rPr>
          <w:rFonts w:ascii="黑体" w:eastAsia="黑体" w:hAnsi="黑体" w:hint="eastAsia"/>
          <w:sz w:val="32"/>
          <w:szCs w:val="32"/>
        </w:rPr>
        <w:t>以及</w:t>
      </w:r>
      <w:r w:rsidR="008D62C6">
        <w:rPr>
          <w:rFonts w:ascii="黑体" w:eastAsia="黑体" w:hAnsi="黑体"/>
          <w:sz w:val="32"/>
          <w:szCs w:val="32"/>
        </w:rPr>
        <w:t>国内外同类标准水平的对比情况；</w:t>
      </w:r>
    </w:p>
    <w:p w:rsidR="00012953" w:rsidRPr="00C07611" w:rsidRDefault="003135E6" w:rsidP="00C07611">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hint="eastAsia"/>
          <w:sz w:val="32"/>
          <w:szCs w:val="32"/>
        </w:rPr>
        <w:t>无</w:t>
      </w:r>
      <w:r>
        <w:rPr>
          <w:rFonts w:ascii="仿宋_GB2312" w:eastAsia="仿宋_GB2312" w:hAnsi="Calibri"/>
          <w:sz w:val="32"/>
          <w:szCs w:val="32"/>
        </w:rPr>
        <w:t>。</w:t>
      </w:r>
    </w:p>
    <w:p w:rsidR="00B646E1" w:rsidRPr="00C07611" w:rsidRDefault="00481E38" w:rsidP="00A54228">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八</w:t>
      </w:r>
      <w:r w:rsidR="008D62C6">
        <w:rPr>
          <w:rFonts w:ascii="黑体" w:eastAsia="黑体" w:hAnsi="黑体" w:hint="eastAsia"/>
          <w:sz w:val="32"/>
          <w:szCs w:val="32"/>
        </w:rPr>
        <w:t>、推广</w:t>
      </w:r>
      <w:r w:rsidR="008D62C6">
        <w:rPr>
          <w:rFonts w:ascii="黑体" w:eastAsia="黑体" w:hAnsi="黑体"/>
          <w:sz w:val="32"/>
          <w:szCs w:val="32"/>
        </w:rPr>
        <w:t>实施（包括实施措施；实施方向，如以标准为依据开展的产业推进、行业管理等有关活动）</w:t>
      </w:r>
    </w:p>
    <w:p w:rsidR="008A4C73" w:rsidRDefault="008A4C73" w:rsidP="008A4C73">
      <w:pPr>
        <w:widowControl/>
        <w:spacing w:line="600" w:lineRule="exact"/>
        <w:ind w:firstLineChars="200" w:firstLine="640"/>
        <w:jc w:val="left"/>
        <w:rPr>
          <w:rFonts w:ascii="仿宋_GB2312" w:eastAsia="仿宋_GB2312" w:hAnsi="Calibri"/>
          <w:sz w:val="32"/>
          <w:szCs w:val="32"/>
        </w:rPr>
      </w:pPr>
      <w:r w:rsidRPr="008A4C73">
        <w:rPr>
          <w:rFonts w:ascii="仿宋_GB2312" w:eastAsia="仿宋_GB2312" w:hAnsi="Calibri" w:hint="eastAsia"/>
          <w:sz w:val="32"/>
          <w:szCs w:val="32"/>
        </w:rPr>
        <w:t>标准的推广实施对于提升内蒙古</w:t>
      </w:r>
      <w:r w:rsidR="00B12295">
        <w:rPr>
          <w:rFonts w:ascii="仿宋_GB2312" w:eastAsia="仿宋_GB2312" w:hAnsi="Calibri" w:hint="eastAsia"/>
          <w:sz w:val="32"/>
          <w:szCs w:val="32"/>
        </w:rPr>
        <w:t>石油化工企业</w:t>
      </w:r>
      <w:r w:rsidRPr="008A4C73">
        <w:rPr>
          <w:rFonts w:ascii="仿宋_GB2312" w:eastAsia="仿宋_GB2312" w:hAnsi="Calibri" w:hint="eastAsia"/>
          <w:sz w:val="32"/>
          <w:szCs w:val="32"/>
        </w:rPr>
        <w:t>的反恐怖防范能力具有重要意义。通过组织培训活动，向</w:t>
      </w:r>
      <w:r w:rsidR="00B12295">
        <w:rPr>
          <w:rFonts w:ascii="仿宋_GB2312" w:eastAsia="仿宋_GB2312" w:hAnsi="Calibri" w:hint="eastAsia"/>
          <w:sz w:val="32"/>
          <w:szCs w:val="32"/>
        </w:rPr>
        <w:t>石油化工企业</w:t>
      </w:r>
      <w:r w:rsidRPr="008A4C73">
        <w:rPr>
          <w:rFonts w:ascii="仿宋_GB2312" w:eastAsia="仿宋_GB2312" w:hAnsi="Calibri" w:hint="eastAsia"/>
          <w:sz w:val="32"/>
          <w:szCs w:val="32"/>
        </w:rPr>
        <w:t>从业者详细解读标准内容，使其充分理解并掌握各项防范要求。利用多种媒体渠道进行广泛宣传，提高社会各界对</w:t>
      </w:r>
      <w:r w:rsidR="00B12295">
        <w:rPr>
          <w:rFonts w:ascii="仿宋_GB2312" w:eastAsia="仿宋_GB2312" w:hAnsi="Calibri" w:hint="eastAsia"/>
          <w:sz w:val="32"/>
          <w:szCs w:val="32"/>
        </w:rPr>
        <w:t>石油化工企业</w:t>
      </w:r>
      <w:r w:rsidRPr="008A4C73">
        <w:rPr>
          <w:rFonts w:ascii="仿宋_GB2312" w:eastAsia="仿宋_GB2312" w:hAnsi="Calibri" w:hint="eastAsia"/>
          <w:sz w:val="32"/>
          <w:szCs w:val="32"/>
        </w:rPr>
        <w:t>反恐防范的关注度。同时，建立监督机制，确保标准在实际工作中得到有效落实。鼓励企业积极反馈实施过程中遇到的问题，以便及时对标准进行修订和完善，不断优化内蒙古</w:t>
      </w:r>
      <w:r w:rsidR="00B12295">
        <w:rPr>
          <w:rFonts w:ascii="仿宋_GB2312" w:eastAsia="仿宋_GB2312" w:hAnsi="Calibri" w:hint="eastAsia"/>
          <w:sz w:val="32"/>
          <w:szCs w:val="32"/>
        </w:rPr>
        <w:t>石油化工企业</w:t>
      </w:r>
      <w:r w:rsidRPr="008A4C73">
        <w:rPr>
          <w:rFonts w:ascii="仿宋_GB2312" w:eastAsia="仿宋_GB2312" w:hAnsi="Calibri" w:hint="eastAsia"/>
          <w:sz w:val="32"/>
          <w:szCs w:val="32"/>
        </w:rPr>
        <w:t>的反恐怖防范工作</w:t>
      </w:r>
      <w:r w:rsidRPr="008A4C73">
        <w:rPr>
          <w:rFonts w:ascii="仿宋_GB2312" w:eastAsia="仿宋_GB2312" w:hAnsi="Calibri" w:hint="eastAsia"/>
          <w:sz w:val="32"/>
          <w:szCs w:val="32"/>
        </w:rPr>
        <w:lastRenderedPageBreak/>
        <w:t>体系，切实保障</w:t>
      </w:r>
      <w:r w:rsidR="00B12295">
        <w:rPr>
          <w:rFonts w:ascii="仿宋_GB2312" w:eastAsia="仿宋_GB2312" w:hAnsi="Calibri" w:hint="eastAsia"/>
          <w:sz w:val="32"/>
          <w:szCs w:val="32"/>
        </w:rPr>
        <w:t>石油化工</w:t>
      </w:r>
      <w:r w:rsidRPr="008A4C73">
        <w:rPr>
          <w:rFonts w:ascii="仿宋_GB2312" w:eastAsia="仿宋_GB2312" w:hAnsi="Calibri" w:hint="eastAsia"/>
          <w:sz w:val="32"/>
          <w:szCs w:val="32"/>
        </w:rPr>
        <w:t>设施的安全稳定运行和人民群众的生命财产安全。</w:t>
      </w:r>
    </w:p>
    <w:p w:rsidR="007E1881" w:rsidRPr="008A4C73" w:rsidRDefault="007E1881" w:rsidP="008A4C73">
      <w:pPr>
        <w:widowControl/>
        <w:spacing w:line="600" w:lineRule="exact"/>
        <w:ind w:firstLineChars="200" w:firstLine="640"/>
        <w:jc w:val="left"/>
        <w:rPr>
          <w:rFonts w:ascii="仿宋_GB2312" w:eastAsia="仿宋_GB2312" w:hAnsi="Calibri"/>
          <w:sz w:val="32"/>
          <w:szCs w:val="32"/>
        </w:rPr>
      </w:pPr>
      <w:r w:rsidRPr="008A4C73">
        <w:rPr>
          <w:rFonts w:ascii="仿宋_GB2312" w:eastAsia="仿宋_GB2312" w:hAnsi="Calibri" w:hint="eastAsia"/>
          <w:sz w:val="32"/>
          <w:szCs w:val="32"/>
        </w:rPr>
        <w:t>内蒙古自治区</w:t>
      </w:r>
      <w:proofErr w:type="gramStart"/>
      <w:r w:rsidRPr="008A4C73">
        <w:rPr>
          <w:rFonts w:ascii="仿宋_GB2312" w:eastAsia="仿宋_GB2312" w:hAnsi="Calibri" w:hint="eastAsia"/>
          <w:sz w:val="32"/>
          <w:szCs w:val="32"/>
        </w:rPr>
        <w:t>反恐办通过</w:t>
      </w:r>
      <w:proofErr w:type="gramEnd"/>
      <w:r w:rsidRPr="008A4C73">
        <w:rPr>
          <w:rFonts w:ascii="仿宋_GB2312" w:eastAsia="仿宋_GB2312" w:hAnsi="Calibri" w:hint="eastAsia"/>
          <w:sz w:val="32"/>
          <w:szCs w:val="32"/>
        </w:rPr>
        <w:t>“内蒙古反恐”</w:t>
      </w:r>
      <w:proofErr w:type="gramStart"/>
      <w:r w:rsidRPr="008A4C73">
        <w:rPr>
          <w:rFonts w:ascii="仿宋_GB2312" w:eastAsia="仿宋_GB2312" w:hAnsi="Calibri" w:hint="eastAsia"/>
          <w:sz w:val="32"/>
          <w:szCs w:val="32"/>
        </w:rPr>
        <w:t>微信公众号</w:t>
      </w:r>
      <w:proofErr w:type="gramEnd"/>
      <w:r w:rsidRPr="008A4C73">
        <w:rPr>
          <w:rFonts w:ascii="仿宋_GB2312" w:eastAsia="仿宋_GB2312" w:hAnsi="Calibri" w:hint="eastAsia"/>
          <w:sz w:val="32"/>
          <w:szCs w:val="32"/>
        </w:rPr>
        <w:t>拓展宣传教育渠道，公众</w:t>
      </w:r>
      <w:proofErr w:type="gramStart"/>
      <w:r w:rsidRPr="008A4C73">
        <w:rPr>
          <w:rFonts w:ascii="仿宋_GB2312" w:eastAsia="仿宋_GB2312" w:hAnsi="Calibri" w:hint="eastAsia"/>
          <w:sz w:val="32"/>
          <w:szCs w:val="32"/>
        </w:rPr>
        <w:t>号设置</w:t>
      </w:r>
      <w:proofErr w:type="gramEnd"/>
      <w:r w:rsidRPr="008A4C73">
        <w:rPr>
          <w:rFonts w:ascii="仿宋_GB2312" w:eastAsia="仿宋_GB2312" w:hAnsi="Calibri" w:hint="eastAsia"/>
          <w:sz w:val="32"/>
          <w:szCs w:val="32"/>
        </w:rPr>
        <w:t>有“有奖举报”、“意见征集”、“防范标准”三大板块，是宣传反恐怖法律法规、发布内蒙各盟市反恐怖动态、前沿资讯、公民举报涉恐线索的新渠道、新平台。人人反恐，普及《中华人民共和国反恐怖主义法》基本知识，可以提高公民主动举报打击恐怖活动的积极性，提升公民抵御不法侵害的能力。</w:t>
      </w:r>
    </w:p>
    <w:p w:rsidR="008D62C6" w:rsidRDefault="008D62C6" w:rsidP="008D62C6">
      <w:pPr>
        <w:widowControl/>
        <w:spacing w:line="600" w:lineRule="exact"/>
        <w:ind w:firstLineChars="200" w:firstLine="640"/>
        <w:jc w:val="left"/>
        <w:rPr>
          <w:rFonts w:ascii="黑体" w:eastAsia="黑体" w:hAnsi="黑体"/>
          <w:sz w:val="32"/>
          <w:szCs w:val="32"/>
        </w:rPr>
      </w:pPr>
      <w:r w:rsidRPr="008D62C6">
        <w:rPr>
          <w:rFonts w:ascii="黑体" w:eastAsia="黑体" w:hAnsi="黑体" w:hint="eastAsia"/>
          <w:sz w:val="32"/>
          <w:szCs w:val="32"/>
        </w:rPr>
        <w:t>九</w:t>
      </w:r>
      <w:r w:rsidRPr="008D62C6">
        <w:rPr>
          <w:rFonts w:ascii="黑体" w:eastAsia="黑体" w:hAnsi="黑体"/>
          <w:sz w:val="32"/>
          <w:szCs w:val="32"/>
        </w:rPr>
        <w:t>、其他应说明的事项。</w:t>
      </w:r>
    </w:p>
    <w:bookmarkEnd w:id="0"/>
    <w:bookmarkEnd w:id="1"/>
    <w:p w:rsidR="00063C4E" w:rsidRPr="008D62C6" w:rsidRDefault="008D62C6" w:rsidP="008A4C73">
      <w:pPr>
        <w:widowControl/>
        <w:spacing w:line="600" w:lineRule="exact"/>
        <w:ind w:firstLineChars="200" w:firstLine="640"/>
        <w:jc w:val="left"/>
        <w:rPr>
          <w:rFonts w:ascii="仿宋_GB2312" w:eastAsia="仿宋_GB2312" w:hAnsi="Calibri"/>
          <w:sz w:val="32"/>
          <w:szCs w:val="32"/>
        </w:rPr>
      </w:pPr>
      <w:r w:rsidRPr="008D62C6">
        <w:rPr>
          <w:rFonts w:ascii="仿宋_GB2312" w:eastAsia="仿宋_GB2312" w:hAnsi="Calibri" w:hint="eastAsia"/>
          <w:sz w:val="32"/>
          <w:szCs w:val="32"/>
        </w:rPr>
        <w:t>无</w:t>
      </w:r>
      <w:r w:rsidRPr="008D62C6">
        <w:rPr>
          <w:rFonts w:ascii="仿宋_GB2312" w:eastAsia="仿宋_GB2312" w:hAnsi="Calibri"/>
          <w:sz w:val="32"/>
          <w:szCs w:val="32"/>
        </w:rPr>
        <w:t>。</w:t>
      </w:r>
    </w:p>
    <w:sectPr w:rsidR="00063C4E" w:rsidRPr="008D62C6" w:rsidSect="00C04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88" w:rsidRDefault="00710C88" w:rsidP="00A80F9F">
      <w:r>
        <w:separator/>
      </w:r>
    </w:p>
  </w:endnote>
  <w:endnote w:type="continuationSeparator" w:id="0">
    <w:p w:rsidR="00710C88" w:rsidRDefault="00710C88" w:rsidP="00A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C4E" w:rsidRDefault="00063C4E">
    <w:pPr>
      <w:pStyle w:val="af"/>
      <w:framePr w:wrap="around" w:vAnchor="text" w:hAnchor="margin" w:xAlign="right" w:y="1"/>
      <w:rPr>
        <w:rStyle w:val="af1"/>
      </w:rPr>
    </w:pPr>
    <w:r>
      <w:fldChar w:fldCharType="begin"/>
    </w:r>
    <w:r>
      <w:rPr>
        <w:rStyle w:val="af1"/>
      </w:rPr>
      <w:instrText xml:space="preserve">PAGE  </w:instrText>
    </w:r>
    <w:r>
      <w:fldChar w:fldCharType="separate"/>
    </w:r>
    <w:r>
      <w:rPr>
        <w:rStyle w:val="af1"/>
      </w:rPr>
      <w:t>2</w:t>
    </w:r>
    <w:r>
      <w:fldChar w:fldCharType="end"/>
    </w:r>
  </w:p>
  <w:p w:rsidR="00063C4E" w:rsidRDefault="00063C4E">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755940"/>
      <w:docPartObj>
        <w:docPartGallery w:val="Page Numbers (Bottom of Page)"/>
        <w:docPartUnique/>
      </w:docPartObj>
    </w:sdtPr>
    <w:sdtEndPr/>
    <w:sdtContent>
      <w:p w:rsidR="00063C4E" w:rsidRDefault="00063C4E">
        <w:pPr>
          <w:pStyle w:val="af"/>
          <w:jc w:val="center"/>
        </w:pPr>
        <w:r>
          <w:fldChar w:fldCharType="begin"/>
        </w:r>
        <w:r>
          <w:instrText>PAGE   \* MERGEFORMAT</w:instrText>
        </w:r>
        <w:r>
          <w:fldChar w:fldCharType="separate"/>
        </w:r>
        <w:r w:rsidR="00EC0628" w:rsidRPr="00EC0628">
          <w:rPr>
            <w:noProof/>
            <w:lang w:val="zh-CN"/>
          </w:rPr>
          <w:t>5</w:t>
        </w:r>
        <w:r>
          <w:fldChar w:fldCharType="end"/>
        </w:r>
      </w:p>
    </w:sdtContent>
  </w:sdt>
  <w:p w:rsidR="00063C4E" w:rsidRDefault="00063C4E">
    <w:pPr>
      <w:pStyle w:val="af"/>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88" w:rsidRDefault="00710C88" w:rsidP="00A80F9F">
      <w:r>
        <w:separator/>
      </w:r>
    </w:p>
  </w:footnote>
  <w:footnote w:type="continuationSeparator" w:id="0">
    <w:p w:rsidR="00710C88" w:rsidRDefault="00710C88" w:rsidP="00A80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1472"/>
    <w:multiLevelType w:val="hybridMultilevel"/>
    <w:tmpl w:val="116A693E"/>
    <w:lvl w:ilvl="0" w:tplc="940407EA">
      <w:start w:val="1"/>
      <w:numFmt w:val="decimal"/>
      <w:lvlText w:val="%1."/>
      <w:lvlJc w:val="left"/>
      <w:pPr>
        <w:ind w:left="360" w:hanging="360"/>
      </w:pPr>
      <w:rPr>
        <w:rFonts w:asciiTheme="minorEastAsia" w:eastAsiaTheme="minorEastAsia" w:hAnsiTheme="minorEastAsi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F8A6B898"/>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9F"/>
    <w:rsid w:val="00006F21"/>
    <w:rsid w:val="00007711"/>
    <w:rsid w:val="00012953"/>
    <w:rsid w:val="00020F82"/>
    <w:rsid w:val="00022CED"/>
    <w:rsid w:val="00026DCA"/>
    <w:rsid w:val="00030427"/>
    <w:rsid w:val="00036A8F"/>
    <w:rsid w:val="000378BA"/>
    <w:rsid w:val="00046F24"/>
    <w:rsid w:val="000511C9"/>
    <w:rsid w:val="00053C23"/>
    <w:rsid w:val="00063C4E"/>
    <w:rsid w:val="000656B3"/>
    <w:rsid w:val="00066ADF"/>
    <w:rsid w:val="00070033"/>
    <w:rsid w:val="0009136C"/>
    <w:rsid w:val="0009349C"/>
    <w:rsid w:val="00097BF4"/>
    <w:rsid w:val="00097C84"/>
    <w:rsid w:val="00097E87"/>
    <w:rsid w:val="000A34C6"/>
    <w:rsid w:val="000A494A"/>
    <w:rsid w:val="000A5B1B"/>
    <w:rsid w:val="000B005C"/>
    <w:rsid w:val="000D3D89"/>
    <w:rsid w:val="000E0309"/>
    <w:rsid w:val="000F38BA"/>
    <w:rsid w:val="000F5610"/>
    <w:rsid w:val="000F78F4"/>
    <w:rsid w:val="001011DF"/>
    <w:rsid w:val="00104712"/>
    <w:rsid w:val="001112E0"/>
    <w:rsid w:val="00120B17"/>
    <w:rsid w:val="001225C2"/>
    <w:rsid w:val="00142F75"/>
    <w:rsid w:val="00156267"/>
    <w:rsid w:val="0017507A"/>
    <w:rsid w:val="00183854"/>
    <w:rsid w:val="00187067"/>
    <w:rsid w:val="00187AB7"/>
    <w:rsid w:val="001932B6"/>
    <w:rsid w:val="0019618F"/>
    <w:rsid w:val="00197353"/>
    <w:rsid w:val="001A0FA8"/>
    <w:rsid w:val="001A3A82"/>
    <w:rsid w:val="001B2EDE"/>
    <w:rsid w:val="001B6DAF"/>
    <w:rsid w:val="001D0ABE"/>
    <w:rsid w:val="001D5647"/>
    <w:rsid w:val="001D7363"/>
    <w:rsid w:val="001E7995"/>
    <w:rsid w:val="001F4CD1"/>
    <w:rsid w:val="00205BC4"/>
    <w:rsid w:val="00216FBE"/>
    <w:rsid w:val="00221812"/>
    <w:rsid w:val="002230E1"/>
    <w:rsid w:val="002270D6"/>
    <w:rsid w:val="0022785E"/>
    <w:rsid w:val="002307C9"/>
    <w:rsid w:val="00237815"/>
    <w:rsid w:val="00255E63"/>
    <w:rsid w:val="002638E3"/>
    <w:rsid w:val="002750CF"/>
    <w:rsid w:val="00282A09"/>
    <w:rsid w:val="002856DF"/>
    <w:rsid w:val="002863CB"/>
    <w:rsid w:val="00286E0D"/>
    <w:rsid w:val="002A0533"/>
    <w:rsid w:val="002A22CE"/>
    <w:rsid w:val="002B13CD"/>
    <w:rsid w:val="002B3E38"/>
    <w:rsid w:val="002B6359"/>
    <w:rsid w:val="002C1463"/>
    <w:rsid w:val="002C463A"/>
    <w:rsid w:val="002D0D2F"/>
    <w:rsid w:val="002D7A24"/>
    <w:rsid w:val="002D7FE4"/>
    <w:rsid w:val="002E1088"/>
    <w:rsid w:val="002E1573"/>
    <w:rsid w:val="002E55ED"/>
    <w:rsid w:val="002E5E94"/>
    <w:rsid w:val="002F35CD"/>
    <w:rsid w:val="002F4417"/>
    <w:rsid w:val="002F5FB4"/>
    <w:rsid w:val="002F6492"/>
    <w:rsid w:val="0030265A"/>
    <w:rsid w:val="003135E6"/>
    <w:rsid w:val="00321C00"/>
    <w:rsid w:val="00321C3D"/>
    <w:rsid w:val="00323CE5"/>
    <w:rsid w:val="003321AB"/>
    <w:rsid w:val="00342FBA"/>
    <w:rsid w:val="003451DA"/>
    <w:rsid w:val="00345D57"/>
    <w:rsid w:val="0034600E"/>
    <w:rsid w:val="003512A6"/>
    <w:rsid w:val="00351D2D"/>
    <w:rsid w:val="003527E2"/>
    <w:rsid w:val="00356359"/>
    <w:rsid w:val="0036643B"/>
    <w:rsid w:val="00370E2E"/>
    <w:rsid w:val="003751B8"/>
    <w:rsid w:val="00380F67"/>
    <w:rsid w:val="003977D7"/>
    <w:rsid w:val="003A0EDC"/>
    <w:rsid w:val="003A2055"/>
    <w:rsid w:val="003B4E0F"/>
    <w:rsid w:val="003B7AAC"/>
    <w:rsid w:val="003C3395"/>
    <w:rsid w:val="003D0043"/>
    <w:rsid w:val="003D1568"/>
    <w:rsid w:val="003D4C03"/>
    <w:rsid w:val="003D7DC5"/>
    <w:rsid w:val="003E1C1D"/>
    <w:rsid w:val="003F349B"/>
    <w:rsid w:val="003F6EBD"/>
    <w:rsid w:val="00405D1C"/>
    <w:rsid w:val="00417B67"/>
    <w:rsid w:val="00421C63"/>
    <w:rsid w:val="00426B9B"/>
    <w:rsid w:val="00441110"/>
    <w:rsid w:val="004442E7"/>
    <w:rsid w:val="004524BB"/>
    <w:rsid w:val="004528AA"/>
    <w:rsid w:val="00453DE7"/>
    <w:rsid w:val="00462FE0"/>
    <w:rsid w:val="00467599"/>
    <w:rsid w:val="004704ED"/>
    <w:rsid w:val="0047404D"/>
    <w:rsid w:val="0047629A"/>
    <w:rsid w:val="00481E38"/>
    <w:rsid w:val="00487384"/>
    <w:rsid w:val="00494956"/>
    <w:rsid w:val="004959B8"/>
    <w:rsid w:val="0049611C"/>
    <w:rsid w:val="004974A5"/>
    <w:rsid w:val="004A31D7"/>
    <w:rsid w:val="004A6BED"/>
    <w:rsid w:val="004B101E"/>
    <w:rsid w:val="004C5487"/>
    <w:rsid w:val="004D4BE8"/>
    <w:rsid w:val="004E32B7"/>
    <w:rsid w:val="004E5383"/>
    <w:rsid w:val="004F0AB0"/>
    <w:rsid w:val="00516899"/>
    <w:rsid w:val="00531561"/>
    <w:rsid w:val="00532947"/>
    <w:rsid w:val="00532E1D"/>
    <w:rsid w:val="005373EA"/>
    <w:rsid w:val="00554CB7"/>
    <w:rsid w:val="0056393F"/>
    <w:rsid w:val="00564506"/>
    <w:rsid w:val="00565E7B"/>
    <w:rsid w:val="00570DEF"/>
    <w:rsid w:val="005714D4"/>
    <w:rsid w:val="00572BDA"/>
    <w:rsid w:val="00572C7A"/>
    <w:rsid w:val="00582A0D"/>
    <w:rsid w:val="005832DA"/>
    <w:rsid w:val="005951FF"/>
    <w:rsid w:val="00597767"/>
    <w:rsid w:val="00597A1B"/>
    <w:rsid w:val="005A0323"/>
    <w:rsid w:val="005A65CB"/>
    <w:rsid w:val="005B6F9F"/>
    <w:rsid w:val="005C15CB"/>
    <w:rsid w:val="005C4042"/>
    <w:rsid w:val="005D3FCE"/>
    <w:rsid w:val="005E04BA"/>
    <w:rsid w:val="005E6941"/>
    <w:rsid w:val="005F0414"/>
    <w:rsid w:val="005F5AD1"/>
    <w:rsid w:val="00601E72"/>
    <w:rsid w:val="00613E74"/>
    <w:rsid w:val="006151F7"/>
    <w:rsid w:val="00616A33"/>
    <w:rsid w:val="006239BB"/>
    <w:rsid w:val="00623F80"/>
    <w:rsid w:val="00624293"/>
    <w:rsid w:val="00632D9D"/>
    <w:rsid w:val="00634640"/>
    <w:rsid w:val="00635FB0"/>
    <w:rsid w:val="006413D2"/>
    <w:rsid w:val="00642E82"/>
    <w:rsid w:val="00643106"/>
    <w:rsid w:val="00645BAB"/>
    <w:rsid w:val="00651EC3"/>
    <w:rsid w:val="00657238"/>
    <w:rsid w:val="0066349E"/>
    <w:rsid w:val="0067021C"/>
    <w:rsid w:val="006707EA"/>
    <w:rsid w:val="00673A86"/>
    <w:rsid w:val="006765D6"/>
    <w:rsid w:val="006817B3"/>
    <w:rsid w:val="006827FC"/>
    <w:rsid w:val="006908F3"/>
    <w:rsid w:val="006A155E"/>
    <w:rsid w:val="006A323B"/>
    <w:rsid w:val="006B093C"/>
    <w:rsid w:val="006B0DA6"/>
    <w:rsid w:val="006B172D"/>
    <w:rsid w:val="006B3D7B"/>
    <w:rsid w:val="006C3C90"/>
    <w:rsid w:val="006C682D"/>
    <w:rsid w:val="006D1D9A"/>
    <w:rsid w:val="006D2F1F"/>
    <w:rsid w:val="006D4889"/>
    <w:rsid w:val="006F180A"/>
    <w:rsid w:val="006F61B0"/>
    <w:rsid w:val="00700901"/>
    <w:rsid w:val="00706932"/>
    <w:rsid w:val="0071013C"/>
    <w:rsid w:val="00710C88"/>
    <w:rsid w:val="0071659D"/>
    <w:rsid w:val="00731519"/>
    <w:rsid w:val="00734039"/>
    <w:rsid w:val="007364D9"/>
    <w:rsid w:val="00736B27"/>
    <w:rsid w:val="007435FC"/>
    <w:rsid w:val="00743C0A"/>
    <w:rsid w:val="00746EB3"/>
    <w:rsid w:val="00750255"/>
    <w:rsid w:val="00752D53"/>
    <w:rsid w:val="00753527"/>
    <w:rsid w:val="007563EC"/>
    <w:rsid w:val="00763F60"/>
    <w:rsid w:val="007750EF"/>
    <w:rsid w:val="00776578"/>
    <w:rsid w:val="00781FD9"/>
    <w:rsid w:val="00791B17"/>
    <w:rsid w:val="00796D60"/>
    <w:rsid w:val="0079724D"/>
    <w:rsid w:val="007B6B18"/>
    <w:rsid w:val="007D0288"/>
    <w:rsid w:val="007D361E"/>
    <w:rsid w:val="007D62DE"/>
    <w:rsid w:val="007D66C0"/>
    <w:rsid w:val="007D761C"/>
    <w:rsid w:val="007E1881"/>
    <w:rsid w:val="007E27BC"/>
    <w:rsid w:val="007F0129"/>
    <w:rsid w:val="007F054F"/>
    <w:rsid w:val="007F1A90"/>
    <w:rsid w:val="007F4AED"/>
    <w:rsid w:val="007F515B"/>
    <w:rsid w:val="0080069D"/>
    <w:rsid w:val="008006B9"/>
    <w:rsid w:val="00800824"/>
    <w:rsid w:val="00811FED"/>
    <w:rsid w:val="008143D3"/>
    <w:rsid w:val="00816C7C"/>
    <w:rsid w:val="008217B8"/>
    <w:rsid w:val="00823595"/>
    <w:rsid w:val="008277FA"/>
    <w:rsid w:val="00835268"/>
    <w:rsid w:val="00842545"/>
    <w:rsid w:val="008450AC"/>
    <w:rsid w:val="0085090D"/>
    <w:rsid w:val="00854ADD"/>
    <w:rsid w:val="008646C2"/>
    <w:rsid w:val="00865B06"/>
    <w:rsid w:val="00871D8A"/>
    <w:rsid w:val="00872ED7"/>
    <w:rsid w:val="00882780"/>
    <w:rsid w:val="008827F0"/>
    <w:rsid w:val="008841A2"/>
    <w:rsid w:val="00891ED1"/>
    <w:rsid w:val="008A396A"/>
    <w:rsid w:val="008A4237"/>
    <w:rsid w:val="008A43DB"/>
    <w:rsid w:val="008A4C73"/>
    <w:rsid w:val="008A4FE3"/>
    <w:rsid w:val="008A61B8"/>
    <w:rsid w:val="008C19B3"/>
    <w:rsid w:val="008C1EEC"/>
    <w:rsid w:val="008C28F9"/>
    <w:rsid w:val="008C5D31"/>
    <w:rsid w:val="008D4F7C"/>
    <w:rsid w:val="008D62C6"/>
    <w:rsid w:val="008D6B19"/>
    <w:rsid w:val="008E221A"/>
    <w:rsid w:val="008E696C"/>
    <w:rsid w:val="00902CC7"/>
    <w:rsid w:val="009051E7"/>
    <w:rsid w:val="0090742A"/>
    <w:rsid w:val="00910EBF"/>
    <w:rsid w:val="00912B7B"/>
    <w:rsid w:val="009132CA"/>
    <w:rsid w:val="00916AE4"/>
    <w:rsid w:val="00916D1F"/>
    <w:rsid w:val="00916D6F"/>
    <w:rsid w:val="00935AED"/>
    <w:rsid w:val="009373DE"/>
    <w:rsid w:val="00942059"/>
    <w:rsid w:val="00942C69"/>
    <w:rsid w:val="009578CC"/>
    <w:rsid w:val="0096297C"/>
    <w:rsid w:val="009726F3"/>
    <w:rsid w:val="009747A8"/>
    <w:rsid w:val="0098499C"/>
    <w:rsid w:val="00984EA0"/>
    <w:rsid w:val="00986BD4"/>
    <w:rsid w:val="009A187D"/>
    <w:rsid w:val="009B0303"/>
    <w:rsid w:val="009B2819"/>
    <w:rsid w:val="009C2D1E"/>
    <w:rsid w:val="009D3C2D"/>
    <w:rsid w:val="009D6C62"/>
    <w:rsid w:val="009F0DCD"/>
    <w:rsid w:val="00A02C39"/>
    <w:rsid w:val="00A06BFA"/>
    <w:rsid w:val="00A0752E"/>
    <w:rsid w:val="00A13815"/>
    <w:rsid w:val="00A16D0E"/>
    <w:rsid w:val="00A177FC"/>
    <w:rsid w:val="00A32998"/>
    <w:rsid w:val="00A32B72"/>
    <w:rsid w:val="00A4159C"/>
    <w:rsid w:val="00A54228"/>
    <w:rsid w:val="00A62FF4"/>
    <w:rsid w:val="00A63161"/>
    <w:rsid w:val="00A6421A"/>
    <w:rsid w:val="00A64AD1"/>
    <w:rsid w:val="00A675D4"/>
    <w:rsid w:val="00A80F9F"/>
    <w:rsid w:val="00A83274"/>
    <w:rsid w:val="00A83B45"/>
    <w:rsid w:val="00A86CE2"/>
    <w:rsid w:val="00A93414"/>
    <w:rsid w:val="00A940F7"/>
    <w:rsid w:val="00A97C62"/>
    <w:rsid w:val="00AA5801"/>
    <w:rsid w:val="00AA5B87"/>
    <w:rsid w:val="00AA73F7"/>
    <w:rsid w:val="00AB4B50"/>
    <w:rsid w:val="00AE105D"/>
    <w:rsid w:val="00AE60AD"/>
    <w:rsid w:val="00AF47B7"/>
    <w:rsid w:val="00AF6F83"/>
    <w:rsid w:val="00B036CE"/>
    <w:rsid w:val="00B05444"/>
    <w:rsid w:val="00B06BD8"/>
    <w:rsid w:val="00B12295"/>
    <w:rsid w:val="00B12472"/>
    <w:rsid w:val="00B13460"/>
    <w:rsid w:val="00B13D0E"/>
    <w:rsid w:val="00B26FD3"/>
    <w:rsid w:val="00B31EE7"/>
    <w:rsid w:val="00B3231A"/>
    <w:rsid w:val="00B34E27"/>
    <w:rsid w:val="00B36547"/>
    <w:rsid w:val="00B42613"/>
    <w:rsid w:val="00B5178D"/>
    <w:rsid w:val="00B561D2"/>
    <w:rsid w:val="00B62732"/>
    <w:rsid w:val="00B646E1"/>
    <w:rsid w:val="00B67491"/>
    <w:rsid w:val="00B70EDE"/>
    <w:rsid w:val="00B72AD0"/>
    <w:rsid w:val="00B7635C"/>
    <w:rsid w:val="00B77692"/>
    <w:rsid w:val="00B8225A"/>
    <w:rsid w:val="00B82D2B"/>
    <w:rsid w:val="00B91F62"/>
    <w:rsid w:val="00B95C8A"/>
    <w:rsid w:val="00BA0844"/>
    <w:rsid w:val="00BA3411"/>
    <w:rsid w:val="00BB26AB"/>
    <w:rsid w:val="00BB2E97"/>
    <w:rsid w:val="00BB4961"/>
    <w:rsid w:val="00BD0F0D"/>
    <w:rsid w:val="00BE0D22"/>
    <w:rsid w:val="00BE11AB"/>
    <w:rsid w:val="00BE32BC"/>
    <w:rsid w:val="00BF0000"/>
    <w:rsid w:val="00C0442D"/>
    <w:rsid w:val="00C04ADA"/>
    <w:rsid w:val="00C05A05"/>
    <w:rsid w:val="00C07611"/>
    <w:rsid w:val="00C150BC"/>
    <w:rsid w:val="00C15F3B"/>
    <w:rsid w:val="00C16E0D"/>
    <w:rsid w:val="00C17E63"/>
    <w:rsid w:val="00C2370D"/>
    <w:rsid w:val="00C31858"/>
    <w:rsid w:val="00C33C57"/>
    <w:rsid w:val="00C36500"/>
    <w:rsid w:val="00C37064"/>
    <w:rsid w:val="00C426AE"/>
    <w:rsid w:val="00C5185E"/>
    <w:rsid w:val="00C54119"/>
    <w:rsid w:val="00C621B0"/>
    <w:rsid w:val="00C63359"/>
    <w:rsid w:val="00C66279"/>
    <w:rsid w:val="00C73F11"/>
    <w:rsid w:val="00C75D14"/>
    <w:rsid w:val="00C84DD1"/>
    <w:rsid w:val="00C94B89"/>
    <w:rsid w:val="00C97FAC"/>
    <w:rsid w:val="00CA040A"/>
    <w:rsid w:val="00CA297C"/>
    <w:rsid w:val="00CA645C"/>
    <w:rsid w:val="00CB329D"/>
    <w:rsid w:val="00CC2A05"/>
    <w:rsid w:val="00CC30A6"/>
    <w:rsid w:val="00CC5B20"/>
    <w:rsid w:val="00CD253F"/>
    <w:rsid w:val="00CD5F1E"/>
    <w:rsid w:val="00CD63F1"/>
    <w:rsid w:val="00CE3647"/>
    <w:rsid w:val="00CE64C3"/>
    <w:rsid w:val="00D0279F"/>
    <w:rsid w:val="00D03C68"/>
    <w:rsid w:val="00D06690"/>
    <w:rsid w:val="00D1092B"/>
    <w:rsid w:val="00D10C44"/>
    <w:rsid w:val="00D26105"/>
    <w:rsid w:val="00D32EAC"/>
    <w:rsid w:val="00D331CA"/>
    <w:rsid w:val="00D518BD"/>
    <w:rsid w:val="00D60467"/>
    <w:rsid w:val="00D62638"/>
    <w:rsid w:val="00D64897"/>
    <w:rsid w:val="00D6627E"/>
    <w:rsid w:val="00D716CF"/>
    <w:rsid w:val="00D756DF"/>
    <w:rsid w:val="00D90030"/>
    <w:rsid w:val="00D906B7"/>
    <w:rsid w:val="00DA46BE"/>
    <w:rsid w:val="00DA6362"/>
    <w:rsid w:val="00DB00C3"/>
    <w:rsid w:val="00DC7930"/>
    <w:rsid w:val="00DE0450"/>
    <w:rsid w:val="00DE1572"/>
    <w:rsid w:val="00E01D65"/>
    <w:rsid w:val="00E07B2A"/>
    <w:rsid w:val="00E07D29"/>
    <w:rsid w:val="00E110FE"/>
    <w:rsid w:val="00E52F18"/>
    <w:rsid w:val="00E53885"/>
    <w:rsid w:val="00E67D4E"/>
    <w:rsid w:val="00E74FBD"/>
    <w:rsid w:val="00E92F99"/>
    <w:rsid w:val="00E94F66"/>
    <w:rsid w:val="00E969BA"/>
    <w:rsid w:val="00EA5D2A"/>
    <w:rsid w:val="00EB34D8"/>
    <w:rsid w:val="00EB40FF"/>
    <w:rsid w:val="00EB575C"/>
    <w:rsid w:val="00EC0628"/>
    <w:rsid w:val="00EC3393"/>
    <w:rsid w:val="00EC4A10"/>
    <w:rsid w:val="00EC5A44"/>
    <w:rsid w:val="00EC6212"/>
    <w:rsid w:val="00ED2ACB"/>
    <w:rsid w:val="00ED3211"/>
    <w:rsid w:val="00ED55A5"/>
    <w:rsid w:val="00EE3B4F"/>
    <w:rsid w:val="00EE5836"/>
    <w:rsid w:val="00EF25BB"/>
    <w:rsid w:val="00F055D3"/>
    <w:rsid w:val="00F07C40"/>
    <w:rsid w:val="00F1046F"/>
    <w:rsid w:val="00F10527"/>
    <w:rsid w:val="00F13D80"/>
    <w:rsid w:val="00F14DEA"/>
    <w:rsid w:val="00F15D07"/>
    <w:rsid w:val="00F169FD"/>
    <w:rsid w:val="00F16B5C"/>
    <w:rsid w:val="00F17CA0"/>
    <w:rsid w:val="00F204CE"/>
    <w:rsid w:val="00F21F21"/>
    <w:rsid w:val="00F22C95"/>
    <w:rsid w:val="00F33E19"/>
    <w:rsid w:val="00F36AC1"/>
    <w:rsid w:val="00F3748E"/>
    <w:rsid w:val="00F37B50"/>
    <w:rsid w:val="00F40782"/>
    <w:rsid w:val="00F4161F"/>
    <w:rsid w:val="00F52ECD"/>
    <w:rsid w:val="00F53F2C"/>
    <w:rsid w:val="00F551B5"/>
    <w:rsid w:val="00F87BE8"/>
    <w:rsid w:val="00F95787"/>
    <w:rsid w:val="00FA4F26"/>
    <w:rsid w:val="00FB052F"/>
    <w:rsid w:val="00FB6F14"/>
    <w:rsid w:val="00FC1A14"/>
    <w:rsid w:val="00FC5397"/>
    <w:rsid w:val="00FC7006"/>
    <w:rsid w:val="00FD3EF3"/>
    <w:rsid w:val="00FD6BB3"/>
    <w:rsid w:val="00FE29F8"/>
    <w:rsid w:val="00FE418E"/>
    <w:rsid w:val="00FE6293"/>
    <w:rsid w:val="00FF7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4C62F"/>
  <w15:docId w15:val="{394A8C6E-933D-436F-84BC-EA364C70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80F9F"/>
    <w:pPr>
      <w:widowControl w:val="0"/>
      <w:jc w:val="both"/>
    </w:pPr>
    <w:rPr>
      <w:rFonts w:ascii="Times New Roman" w:eastAsia="宋体" w:hAnsi="Times New Roman" w:cs="Times New Roman"/>
      <w:szCs w:val="20"/>
    </w:rPr>
  </w:style>
  <w:style w:type="paragraph" w:styleId="7">
    <w:name w:val="heading 7"/>
    <w:basedOn w:val="a9"/>
    <w:next w:val="a9"/>
    <w:link w:val="70"/>
    <w:qFormat/>
    <w:rsid w:val="00582A0D"/>
    <w:pPr>
      <w:keepNext/>
      <w:keepLines/>
      <w:spacing w:before="240" w:after="64" w:line="320" w:lineRule="auto"/>
      <w:outlineLvl w:val="6"/>
    </w:pPr>
    <w:rPr>
      <w:rFonts w:ascii="Calibri" w:hAnsi="Calibri"/>
      <w:b/>
      <w:bCs/>
      <w:sz w:val="24"/>
      <w:szCs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qFormat/>
    <w:rsid w:val="00421C63"/>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a"/>
    <w:link w:val="ad"/>
    <w:uiPriority w:val="99"/>
    <w:rsid w:val="00421C63"/>
    <w:rPr>
      <w:rFonts w:ascii="Times New Roman" w:eastAsia="宋体" w:hAnsi="Times New Roman" w:cs="Times New Roman"/>
      <w:sz w:val="18"/>
      <w:szCs w:val="18"/>
    </w:rPr>
  </w:style>
  <w:style w:type="paragraph" w:styleId="af">
    <w:name w:val="footer"/>
    <w:basedOn w:val="a9"/>
    <w:link w:val="af0"/>
    <w:uiPriority w:val="99"/>
    <w:unhideWhenUsed/>
    <w:qFormat/>
    <w:rsid w:val="00A80F9F"/>
    <w:pPr>
      <w:tabs>
        <w:tab w:val="center" w:pos="4153"/>
        <w:tab w:val="right" w:pos="8306"/>
      </w:tabs>
      <w:snapToGrid w:val="0"/>
      <w:jc w:val="left"/>
    </w:pPr>
    <w:rPr>
      <w:sz w:val="18"/>
      <w:szCs w:val="18"/>
    </w:rPr>
  </w:style>
  <w:style w:type="character" w:customStyle="1" w:styleId="af0">
    <w:name w:val="页脚 字符"/>
    <w:basedOn w:val="aa"/>
    <w:link w:val="af"/>
    <w:uiPriority w:val="99"/>
    <w:qFormat/>
    <w:rsid w:val="00A80F9F"/>
    <w:rPr>
      <w:sz w:val="18"/>
      <w:szCs w:val="18"/>
    </w:rPr>
  </w:style>
  <w:style w:type="character" w:styleId="af1">
    <w:name w:val="page number"/>
    <w:basedOn w:val="aa"/>
    <w:rsid w:val="00A80F9F"/>
  </w:style>
  <w:style w:type="character" w:customStyle="1" w:styleId="Char">
    <w:name w:val="段 Char"/>
    <w:basedOn w:val="aa"/>
    <w:link w:val="af2"/>
    <w:qFormat/>
    <w:rsid w:val="00D62638"/>
    <w:rPr>
      <w:rFonts w:ascii="宋体"/>
    </w:rPr>
  </w:style>
  <w:style w:type="paragraph" w:customStyle="1" w:styleId="af2">
    <w:name w:val="段"/>
    <w:link w:val="Char"/>
    <w:qFormat/>
    <w:rsid w:val="00D62638"/>
    <w:pPr>
      <w:autoSpaceDE w:val="0"/>
      <w:autoSpaceDN w:val="0"/>
      <w:ind w:firstLineChars="200" w:firstLine="200"/>
      <w:jc w:val="both"/>
    </w:pPr>
    <w:rPr>
      <w:rFonts w:ascii="宋体"/>
    </w:rPr>
  </w:style>
  <w:style w:type="paragraph" w:customStyle="1" w:styleId="1">
    <w:name w:val="列出段落1"/>
    <w:basedOn w:val="a9"/>
    <w:uiPriority w:val="34"/>
    <w:qFormat/>
    <w:rsid w:val="00597A1B"/>
    <w:pPr>
      <w:ind w:firstLineChars="200" w:firstLine="420"/>
    </w:pPr>
    <w:rPr>
      <w:rFonts w:ascii="仿宋_GB2312" w:eastAsia="仿宋_GB2312" w:cs="仿宋_GB2312"/>
      <w:spacing w:val="6"/>
      <w:sz w:val="32"/>
      <w:szCs w:val="32"/>
    </w:rPr>
  </w:style>
  <w:style w:type="paragraph" w:customStyle="1" w:styleId="af3">
    <w:name w:val="标准文件_段"/>
    <w:link w:val="Char0"/>
    <w:qFormat/>
    <w:rsid w:val="002C463A"/>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标准文件_段 Char"/>
    <w:link w:val="af3"/>
    <w:rsid w:val="002C463A"/>
    <w:rPr>
      <w:rFonts w:ascii="宋体" w:eastAsia="宋体" w:hAnsi="Times New Roman" w:cs="Times New Roman"/>
      <w:noProof/>
      <w:kern w:val="0"/>
      <w:szCs w:val="20"/>
    </w:rPr>
  </w:style>
  <w:style w:type="paragraph" w:styleId="af4">
    <w:name w:val="Plain Text"/>
    <w:basedOn w:val="a9"/>
    <w:link w:val="af5"/>
    <w:uiPriority w:val="99"/>
    <w:qFormat/>
    <w:rsid w:val="00D906B7"/>
    <w:rPr>
      <w:rFonts w:ascii="宋体" w:hAnsi="Courier New"/>
      <w:szCs w:val="21"/>
    </w:rPr>
  </w:style>
  <w:style w:type="character" w:customStyle="1" w:styleId="af5">
    <w:name w:val="纯文本 字符"/>
    <w:basedOn w:val="aa"/>
    <w:link w:val="af4"/>
    <w:uiPriority w:val="99"/>
    <w:qFormat/>
    <w:rsid w:val="00D906B7"/>
    <w:rPr>
      <w:rFonts w:ascii="宋体" w:eastAsia="宋体" w:hAnsi="Courier New" w:cs="Times New Roman"/>
      <w:szCs w:val="21"/>
    </w:rPr>
  </w:style>
  <w:style w:type="table" w:customStyle="1" w:styleId="10">
    <w:name w:val="网格型1"/>
    <w:basedOn w:val="ab"/>
    <w:uiPriority w:val="39"/>
    <w:rsid w:val="00C3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9"/>
    <w:uiPriority w:val="99"/>
    <w:unhideWhenUsed/>
    <w:qFormat/>
    <w:rsid w:val="00FB052F"/>
    <w:pPr>
      <w:spacing w:line="560" w:lineRule="exact"/>
      <w:ind w:firstLineChars="200" w:firstLine="420"/>
    </w:pPr>
    <w:rPr>
      <w:rFonts w:eastAsia="仿宋_GB2312"/>
      <w:sz w:val="32"/>
      <w:szCs w:val="24"/>
    </w:rPr>
  </w:style>
  <w:style w:type="table" w:styleId="af7">
    <w:name w:val="Table Grid"/>
    <w:basedOn w:val="ab"/>
    <w:uiPriority w:val="39"/>
    <w:rsid w:val="0063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iPriority w:val="99"/>
    <w:semiHidden/>
    <w:unhideWhenUsed/>
    <w:rsid w:val="00D6627E"/>
    <w:rPr>
      <w:sz w:val="18"/>
      <w:szCs w:val="18"/>
    </w:rPr>
  </w:style>
  <w:style w:type="character" w:customStyle="1" w:styleId="af9">
    <w:name w:val="批注框文本 字符"/>
    <w:basedOn w:val="aa"/>
    <w:link w:val="af8"/>
    <w:uiPriority w:val="99"/>
    <w:semiHidden/>
    <w:rsid w:val="00D6627E"/>
    <w:rPr>
      <w:rFonts w:ascii="Times New Roman" w:eastAsia="宋体" w:hAnsi="Times New Roman" w:cs="Times New Roman"/>
      <w:sz w:val="18"/>
      <w:szCs w:val="18"/>
    </w:rPr>
  </w:style>
  <w:style w:type="paragraph" w:styleId="afa">
    <w:name w:val="Body Text"/>
    <w:basedOn w:val="a9"/>
    <w:next w:val="a9"/>
    <w:link w:val="afb"/>
    <w:uiPriority w:val="99"/>
    <w:qFormat/>
    <w:rsid w:val="009C2D1E"/>
    <w:pPr>
      <w:spacing w:after="120"/>
    </w:pPr>
    <w:rPr>
      <w:rFonts w:ascii="Calibri" w:hAnsi="Calibri"/>
      <w:szCs w:val="22"/>
    </w:rPr>
  </w:style>
  <w:style w:type="character" w:customStyle="1" w:styleId="afb">
    <w:name w:val="正文文本 字符"/>
    <w:basedOn w:val="aa"/>
    <w:link w:val="afa"/>
    <w:uiPriority w:val="99"/>
    <w:rsid w:val="009C2D1E"/>
    <w:rPr>
      <w:rFonts w:ascii="Calibri" w:eastAsia="宋体" w:hAnsi="Calibri" w:cs="Times New Roman"/>
    </w:rPr>
  </w:style>
  <w:style w:type="paragraph" w:customStyle="1" w:styleId="a0">
    <w:name w:val="标准文件_数字编号列项（二级）"/>
    <w:rsid w:val="00601E72"/>
    <w:pPr>
      <w:numPr>
        <w:ilvl w:val="1"/>
        <w:numId w:val="1"/>
      </w:numPr>
      <w:tabs>
        <w:tab w:val="left" w:pos="851"/>
      </w:tabs>
      <w:jc w:val="both"/>
    </w:pPr>
    <w:rPr>
      <w:rFonts w:ascii="宋体" w:eastAsia="宋体" w:hAnsi="Times New Roman" w:cs="Times New Roman"/>
      <w:kern w:val="0"/>
      <w:szCs w:val="20"/>
    </w:rPr>
  </w:style>
  <w:style w:type="paragraph" w:customStyle="1" w:styleId="a1">
    <w:name w:val="标准文件_编号列项（三级）"/>
    <w:rsid w:val="00601E72"/>
    <w:pPr>
      <w:numPr>
        <w:ilvl w:val="2"/>
        <w:numId w:val="1"/>
      </w:numPr>
      <w:tabs>
        <w:tab w:val="left" w:pos="851"/>
      </w:tabs>
    </w:pPr>
    <w:rPr>
      <w:rFonts w:ascii="宋体" w:eastAsia="宋体" w:hAnsi="Times New Roman" w:cs="Times New Roman"/>
      <w:kern w:val="0"/>
      <w:szCs w:val="20"/>
    </w:rPr>
  </w:style>
  <w:style w:type="paragraph" w:customStyle="1" w:styleId="a">
    <w:name w:val="标准文件_字母编号列项（一级）"/>
    <w:rsid w:val="00601E72"/>
    <w:pPr>
      <w:numPr>
        <w:numId w:val="1"/>
      </w:numPr>
      <w:jc w:val="both"/>
    </w:pPr>
    <w:rPr>
      <w:rFonts w:ascii="宋体" w:eastAsia="宋体" w:hAnsi="Times New Roman" w:cs="Times New Roman"/>
      <w:kern w:val="0"/>
      <w:szCs w:val="20"/>
    </w:rPr>
  </w:style>
  <w:style w:type="paragraph" w:customStyle="1" w:styleId="a5">
    <w:name w:val="标准文件_二级条标题"/>
    <w:next w:val="af3"/>
    <w:rsid w:val="001D0ABE"/>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6">
    <w:name w:val="标准文件_三级条标题"/>
    <w:basedOn w:val="a5"/>
    <w:next w:val="af3"/>
    <w:rsid w:val="001D0ABE"/>
    <w:pPr>
      <w:widowControl/>
      <w:numPr>
        <w:ilvl w:val="4"/>
      </w:numPr>
      <w:outlineLvl w:val="3"/>
    </w:pPr>
  </w:style>
  <w:style w:type="paragraph" w:customStyle="1" w:styleId="a7">
    <w:name w:val="标准文件_四级条标题"/>
    <w:next w:val="af3"/>
    <w:rsid w:val="001D0ABE"/>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8">
    <w:name w:val="标准文件_五级条标题"/>
    <w:next w:val="af3"/>
    <w:rsid w:val="001D0ABE"/>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3">
    <w:name w:val="标准文件_章标题"/>
    <w:next w:val="af3"/>
    <w:rsid w:val="001D0ABE"/>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4">
    <w:name w:val="标准文件_一级条标题"/>
    <w:basedOn w:val="a3"/>
    <w:next w:val="af3"/>
    <w:rsid w:val="001D0ABE"/>
    <w:pPr>
      <w:numPr>
        <w:ilvl w:val="2"/>
      </w:numPr>
      <w:spacing w:beforeLines="50" w:before="50" w:afterLines="50" w:after="50"/>
      <w:outlineLvl w:val="1"/>
    </w:pPr>
  </w:style>
  <w:style w:type="paragraph" w:customStyle="1" w:styleId="a2">
    <w:name w:val="前言标题"/>
    <w:next w:val="a9"/>
    <w:rsid w:val="001D0ABE"/>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c">
    <w:name w:val="标准文件_一级无标题"/>
    <w:basedOn w:val="a4"/>
    <w:qFormat/>
    <w:rsid w:val="001D0ABE"/>
    <w:pPr>
      <w:spacing w:beforeLines="0" w:before="0" w:afterLines="0" w:after="0"/>
      <w:outlineLvl w:val="9"/>
    </w:pPr>
    <w:rPr>
      <w:rFonts w:ascii="宋体" w:eastAsia="宋体"/>
    </w:rPr>
  </w:style>
  <w:style w:type="character" w:customStyle="1" w:styleId="70">
    <w:name w:val="标题 7 字符"/>
    <w:basedOn w:val="aa"/>
    <w:link w:val="7"/>
    <w:rsid w:val="00582A0D"/>
    <w:rPr>
      <w:rFonts w:ascii="Calibri" w:eastAsia="宋体" w:hAnsi="Calibri" w:cs="Times New Roman"/>
      <w:b/>
      <w:bCs/>
      <w:sz w:val="24"/>
      <w:szCs w:val="24"/>
    </w:rPr>
  </w:style>
  <w:style w:type="paragraph" w:styleId="afd">
    <w:name w:val="List Paragraph"/>
    <w:basedOn w:val="a9"/>
    <w:uiPriority w:val="99"/>
    <w:rsid w:val="00516899"/>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189045">
      <w:bodyDiv w:val="1"/>
      <w:marLeft w:val="0"/>
      <w:marRight w:val="0"/>
      <w:marTop w:val="0"/>
      <w:marBottom w:val="0"/>
      <w:divBdr>
        <w:top w:val="none" w:sz="0" w:space="0" w:color="auto"/>
        <w:left w:val="none" w:sz="0" w:space="0" w:color="auto"/>
        <w:bottom w:val="none" w:sz="0" w:space="0" w:color="auto"/>
        <w:right w:val="none" w:sz="0" w:space="0" w:color="auto"/>
      </w:divBdr>
    </w:div>
    <w:div w:id="16995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905FF-650A-4888-ADA8-B23A6E95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8</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28</cp:revision>
  <cp:lastPrinted>2023-10-17T07:46:00Z</cp:lastPrinted>
  <dcterms:created xsi:type="dcterms:W3CDTF">2024-09-05T07:39:00Z</dcterms:created>
  <dcterms:modified xsi:type="dcterms:W3CDTF">2025-11-26T03:09:00Z</dcterms:modified>
</cp:coreProperties>
</file>