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EF40F3"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11.020.10</w:t>
            </w:r>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EF40F3">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E278B9">
                    <w:fldChar w:fldCharType="begin">
                      <w:ffData>
                        <w:name w:val="c1"/>
                        <w:enabled/>
                        <w:calcOnExit w:val="0"/>
                        <w:textInput>
                          <w:maxLength w:val="7"/>
                        </w:textInput>
                      </w:ffData>
                    </w:fldChar>
                  </w:r>
                  <w:bookmarkStart w:id="0" w:name="c1"/>
                  <w:r w:rsidR="00E278B9">
                    <w:instrText xml:space="preserve"> FORMTEXT </w:instrText>
                  </w:r>
                  <w:r w:rsidR="00E278B9">
                    <w:fldChar w:fldCharType="separate"/>
                  </w:r>
                  <w:r w:rsidR="00E278B9">
                    <w:t>NMSP</w:t>
                  </w:r>
                  <w:r w:rsidR="00E278B9">
                    <w:fldChar w:fldCharType="end"/>
                  </w:r>
                  <w:bookmarkEnd w:id="0"/>
                </w:p>
              </w:tc>
            </w:tr>
          </w:tbl>
          <w:p w:rsidR="00FB231D" w:rsidRPr="00672BFD" w:rsidRDefault="00EF40F3"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C10</w:t>
            </w:r>
            <w:bookmarkStart w:id="1" w:name="_GoBack"/>
            <w:bookmarkEnd w:id="1"/>
          </w:p>
        </w:tc>
      </w:tr>
    </w:tbl>
    <w:bookmarkStart w:id="2" w:name="_Hlk26473981"/>
    <w:p w:rsidR="0000040A" w:rsidRPr="007B7453" w:rsidRDefault="00E278B9" w:rsidP="000107E0">
      <w:pPr>
        <w:pStyle w:val="affff6"/>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default w:val="内蒙古标准发展促进会"/>
            </w:textInput>
          </w:ffData>
        </w:fldChar>
      </w:r>
      <w:bookmarkStart w:id="3"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内蒙古标准发展促进会</w:t>
      </w:r>
      <w:r>
        <w:rPr>
          <w:rFonts w:ascii="黑体" w:eastAsia="黑体"/>
          <w:b w:val="0"/>
          <w:w w:val="100"/>
          <w:sz w:val="48"/>
        </w:rPr>
        <w:fldChar w:fldCharType="end"/>
      </w:r>
      <w:bookmarkEnd w:id="3"/>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f3"/>
        <w:framePr w:wrap="auto"/>
      </w:pPr>
      <w:r>
        <w:t>T/</w:t>
      </w:r>
      <w:r w:rsidR="00516480">
        <w:fldChar w:fldCharType="begin">
          <w:ffData>
            <w:name w:val="文字1"/>
            <w:enabled/>
            <w:calcOnExit w:val="0"/>
            <w:textInput>
              <w:default w:val="NMSP"/>
            </w:textInput>
          </w:ffData>
        </w:fldChar>
      </w:r>
      <w:bookmarkStart w:id="4" w:name="文字1"/>
      <w:r w:rsidR="00516480">
        <w:instrText xml:space="preserve"> FORMTEXT </w:instrText>
      </w:r>
      <w:r w:rsidR="00516480">
        <w:fldChar w:fldCharType="separate"/>
      </w:r>
      <w:r w:rsidR="00516480">
        <w:t>NMSP</w:t>
      </w:r>
      <w:r w:rsidR="00516480">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CA2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E278B9" w:rsidP="00463B77">
      <w:pPr>
        <w:pStyle w:val="affffffffff5"/>
        <w:framePr w:h="6974" w:hRule="exact" w:wrap="around" w:x="1419" w:anchorLock="1"/>
      </w:pPr>
      <w:r>
        <w:fldChar w:fldCharType="begin">
          <w:ffData>
            <w:name w:val="CSTD_NAME"/>
            <w:enabled/>
            <w:calcOnExit w:val="0"/>
            <w:textInput>
              <w:default w:val="中药不良反应风险信号提取工作指南"/>
            </w:textInput>
          </w:ffData>
        </w:fldChar>
      </w:r>
      <w:bookmarkStart w:id="8" w:name="CSTD_NAME"/>
      <w:r>
        <w:instrText xml:space="preserve"> FORMTEXT </w:instrText>
      </w:r>
      <w:r>
        <w:fldChar w:fldCharType="separate"/>
      </w:r>
      <w:r>
        <w:t>中药不良反应风险信号提取工作指南</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E278B9"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Guidelines for extracting adverse reaction risk signals of traditional chinese medicine"/>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Guidelines for extracting adverse reaction risk signals of traditional chinese medicine</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CA7AFD" w:rsidP="00463B77">
      <w:pPr>
        <w:pStyle w:val="afffffff5"/>
        <w:framePr w:w="9639" w:h="6974" w:hRule="exact" w:wrap="around" w:vAnchor="page" w:hAnchor="page" w:x="1419" w:y="6408" w:anchorLock="1"/>
        <w:spacing w:before="440" w:after="160"/>
        <w:textAlignment w:val="bottom"/>
        <w:rPr>
          <w:noProof/>
          <w:sz w:val="24"/>
          <w:szCs w:val="28"/>
        </w:rPr>
      </w:pPr>
    </w:p>
    <w:p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rsidR="00DE703F" w:rsidRPr="00A6537A" w:rsidRDefault="00DE703F"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实施</w:t>
      </w:r>
    </w:p>
    <w:p w:rsidR="007B7453" w:rsidRPr="004C7E8B" w:rsidRDefault="00E278B9" w:rsidP="004C25A2">
      <w:pPr>
        <w:pStyle w:val="affffffff5"/>
        <w:framePr w:h="584" w:hRule="exact" w:hSpace="181" w:vSpace="181" w:wrap="around" w:y="14800"/>
        <w:rPr>
          <w:rFonts w:hAnsi="黑体"/>
        </w:rPr>
      </w:pPr>
      <w:r>
        <w:rPr>
          <w:rFonts w:hAnsi="黑体"/>
          <w:w w:val="100"/>
          <w:sz w:val="28"/>
        </w:rPr>
        <w:fldChar w:fldCharType="begin">
          <w:ffData>
            <w:name w:val="fm"/>
            <w:enabled/>
            <w:calcOnExit w:val="0"/>
            <w:textInput>
              <w:default w:val="内蒙古标准发展促进会"/>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内蒙古标准发展促进会</w:t>
      </w:r>
      <w:r>
        <w:rPr>
          <w:rFonts w:hAnsi="黑体"/>
          <w:w w:val="100"/>
          <w:sz w:val="28"/>
        </w:rPr>
        <w:fldChar w:fldCharType="end"/>
      </w:r>
      <w:bookmarkEnd w:id="16"/>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0B5D9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7207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7B06D2" w:rsidRDefault="007B06D2" w:rsidP="007B06D2">
      <w:pPr>
        <w:pStyle w:val="a6"/>
        <w:spacing w:after="360"/>
      </w:pPr>
      <w:bookmarkStart w:id="17" w:name="BookMark2"/>
      <w:r w:rsidRPr="007B06D2">
        <w:rPr>
          <w:spacing w:val="320"/>
        </w:rPr>
        <w:lastRenderedPageBreak/>
        <w:t>前</w:t>
      </w:r>
      <w:r>
        <w:t>言</w:t>
      </w:r>
    </w:p>
    <w:p w:rsidR="007B06D2" w:rsidRDefault="007B06D2" w:rsidP="00516480">
      <w:pPr>
        <w:pStyle w:val="affffb"/>
        <w:ind w:firstLine="420"/>
      </w:pPr>
      <w:r>
        <w:rPr>
          <w:rFonts w:hint="eastAsia"/>
        </w:rPr>
        <w:t>本文件按照GB/T 1.1—2020《标准化工作导则  第1部分：标准化文件的结构和起草规则》的规定起草。</w:t>
      </w:r>
    </w:p>
    <w:p w:rsidR="007B06D2" w:rsidRDefault="007B06D2" w:rsidP="007B06D2">
      <w:pPr>
        <w:pStyle w:val="affffb"/>
        <w:ind w:firstLine="420"/>
      </w:pPr>
      <w:r>
        <w:rPr>
          <w:rFonts w:hint="eastAsia"/>
        </w:rPr>
        <w:t>本文件由</w:t>
      </w:r>
      <w:r w:rsidR="00516480" w:rsidRPr="00516480">
        <w:rPr>
          <w:rFonts w:hint="eastAsia"/>
        </w:rPr>
        <w:t>内蒙古自治区药品审评和药物警戒中心</w:t>
      </w:r>
      <w:r>
        <w:rPr>
          <w:rFonts w:hint="eastAsia"/>
        </w:rPr>
        <w:t>提出。</w:t>
      </w:r>
    </w:p>
    <w:p w:rsidR="007B06D2" w:rsidRDefault="007B06D2" w:rsidP="007B06D2">
      <w:pPr>
        <w:pStyle w:val="affffb"/>
        <w:ind w:firstLine="420"/>
      </w:pPr>
      <w:r>
        <w:rPr>
          <w:rFonts w:hint="eastAsia"/>
        </w:rPr>
        <w:t>本文件由</w:t>
      </w:r>
      <w:r w:rsidR="00516480" w:rsidRPr="00516480">
        <w:rPr>
          <w:rFonts w:hint="eastAsia"/>
        </w:rPr>
        <w:t>内蒙古标准发展促进会</w:t>
      </w:r>
      <w:r>
        <w:rPr>
          <w:rFonts w:hint="eastAsia"/>
        </w:rPr>
        <w:t>归口。</w:t>
      </w:r>
    </w:p>
    <w:p w:rsidR="007B06D2" w:rsidRDefault="007B06D2" w:rsidP="007B06D2">
      <w:pPr>
        <w:pStyle w:val="affffb"/>
        <w:ind w:firstLine="420"/>
      </w:pPr>
      <w:r>
        <w:rPr>
          <w:rFonts w:hint="eastAsia"/>
        </w:rPr>
        <w:t>本文件起草单位：</w:t>
      </w:r>
      <w:r w:rsidR="00516480" w:rsidRPr="00516480">
        <w:rPr>
          <w:rFonts w:hint="eastAsia"/>
        </w:rPr>
        <w:t>内蒙古自治区药品审评和药物警戒中心、内蒙古自治区质量和标准化研究院。</w:t>
      </w:r>
    </w:p>
    <w:p w:rsidR="007B06D2" w:rsidRDefault="007B06D2" w:rsidP="007B06D2">
      <w:pPr>
        <w:pStyle w:val="affffb"/>
        <w:ind w:firstLine="420"/>
      </w:pPr>
      <w:r>
        <w:rPr>
          <w:rFonts w:hint="eastAsia"/>
        </w:rPr>
        <w:t>本文件主要起草人：</w:t>
      </w:r>
    </w:p>
    <w:p w:rsidR="007B06D2" w:rsidRDefault="007B06D2" w:rsidP="007B06D2">
      <w:pPr>
        <w:pStyle w:val="affffb"/>
        <w:ind w:firstLine="420"/>
      </w:pPr>
    </w:p>
    <w:p w:rsidR="007B06D2" w:rsidRPr="007B06D2" w:rsidRDefault="007B06D2" w:rsidP="007B06D2">
      <w:pPr>
        <w:pStyle w:val="affffb"/>
        <w:ind w:firstLine="420"/>
        <w:sectPr w:rsidR="007B06D2" w:rsidRPr="007B06D2" w:rsidSect="000B5D97">
          <w:headerReference w:type="even" r:id="rId16"/>
          <w:headerReference w:type="default" r:id="rId17"/>
          <w:footerReference w:type="even" r:id="rId18"/>
          <w:footerReference w:type="default" r:id="rId19"/>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18" w:name="BookMark4"/>
      <w:bookmarkEnd w:id="17"/>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80A7B984168408790295901917167A0"/>
        </w:placeholder>
      </w:sdtPr>
      <w:sdtEndPr/>
      <w:sdtContent>
        <w:bookmarkStart w:id="19" w:name="NEW_STAND_NAME" w:displacedByCustomXml="prev"/>
        <w:p w:rsidR="00F26B7E" w:rsidRPr="00F26B7E" w:rsidRDefault="007B06D2" w:rsidP="00F32780">
          <w:pPr>
            <w:pStyle w:val="afffffffff8"/>
          </w:pPr>
          <w:r w:rsidRPr="007B06D2">
            <w:rPr>
              <w:rFonts w:hint="eastAsia"/>
            </w:rPr>
            <w:t>中药不良反应风险信号提取工作指南</w:t>
          </w:r>
        </w:p>
      </w:sdtContent>
    </w:sdt>
    <w:bookmarkEnd w:id="19" w:displacedByCustomXml="prev"/>
    <w:p w:rsidR="00E2552F" w:rsidRDefault="00E2552F" w:rsidP="00A77CCB">
      <w:pPr>
        <w:pStyle w:val="affc"/>
        <w:spacing w:before="240" w:after="240"/>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bookmarkStart w:id="28" w:name="_Toc97192964"/>
      <w:r>
        <w:rPr>
          <w:rFonts w:hint="eastAsia"/>
        </w:rPr>
        <w:t>范围</w:t>
      </w:r>
      <w:bookmarkEnd w:id="20"/>
      <w:bookmarkEnd w:id="21"/>
      <w:bookmarkEnd w:id="22"/>
      <w:bookmarkEnd w:id="23"/>
      <w:bookmarkEnd w:id="24"/>
      <w:bookmarkEnd w:id="25"/>
      <w:bookmarkEnd w:id="26"/>
      <w:bookmarkEnd w:id="27"/>
      <w:bookmarkEnd w:id="28"/>
    </w:p>
    <w:p w:rsidR="00E278B9" w:rsidRDefault="00E278B9" w:rsidP="00E278B9">
      <w:pPr>
        <w:pStyle w:val="afffffffffffb"/>
      </w:pPr>
      <w:bookmarkStart w:id="29" w:name="_Toc17233326"/>
      <w:bookmarkStart w:id="30" w:name="_Toc17233334"/>
      <w:bookmarkStart w:id="31" w:name="_Toc24884212"/>
      <w:bookmarkStart w:id="32" w:name="_Toc24884219"/>
      <w:bookmarkStart w:id="33" w:name="_Toc26648466"/>
      <w:r>
        <w:rPr>
          <w:rFonts w:hint="eastAsia"/>
        </w:rPr>
        <w:t>本文件规定了各级药品不良反应监测机构、药品上市许可持有人、医疗机构开展中药不良反应监测风险信号提取工作的基本要求和考虑</w:t>
      </w:r>
      <w:r>
        <w:t>要点</w:t>
      </w:r>
      <w:r>
        <w:rPr>
          <w:rFonts w:hint="eastAsia"/>
        </w:rPr>
        <w:t>。</w:t>
      </w:r>
    </w:p>
    <w:p w:rsidR="008B0C9C" w:rsidRPr="00E278B9" w:rsidRDefault="00E278B9" w:rsidP="00E278B9">
      <w:pPr>
        <w:pStyle w:val="afffffffffffb"/>
      </w:pPr>
      <w:r>
        <w:rPr>
          <w:rFonts w:hint="eastAsia"/>
        </w:rPr>
        <w:t>本文件适用于指导各级药品不良反应监测机构、药品上市许可持有人、医疗机构开展中药不良反应监测风险信号检测、信号确认和信号评估的过程。</w:t>
      </w:r>
    </w:p>
    <w:p w:rsidR="00E2552F" w:rsidRDefault="00E2552F" w:rsidP="00A77CCB">
      <w:pPr>
        <w:pStyle w:val="affc"/>
        <w:spacing w:before="240" w:after="240"/>
      </w:pPr>
      <w:bookmarkStart w:id="34" w:name="_Toc26718931"/>
      <w:bookmarkStart w:id="35" w:name="_Toc26986531"/>
      <w:bookmarkStart w:id="36" w:name="_Toc26986772"/>
      <w:bookmarkStart w:id="37" w:name="_Toc97192965"/>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E82FCBCCC4A845D09107B3CDBF9FB7A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A6EC9" w:rsidRPr="008A57E6" w:rsidRDefault="00E278B9" w:rsidP="00E278B9">
          <w:pPr>
            <w:pStyle w:val="affffb"/>
            <w:ind w:firstLine="420"/>
          </w:pPr>
          <w:r>
            <w:rPr>
              <w:rFonts w:hint="eastAsia"/>
            </w:rPr>
            <w:t>本文件没有规范性引用文件。</w:t>
          </w:r>
        </w:p>
      </w:sdtContent>
    </w:sdt>
    <w:p w:rsidR="00B265BC" w:rsidRPr="00E030F9" w:rsidRDefault="00FD59EB" w:rsidP="00FD59EB">
      <w:pPr>
        <w:pStyle w:val="affc"/>
        <w:spacing w:before="240" w:after="240"/>
      </w:pPr>
      <w:bookmarkStart w:id="38" w:name="_Toc97192966"/>
      <w:r>
        <w:rPr>
          <w:rFonts w:hint="eastAsia"/>
          <w:szCs w:val="21"/>
        </w:rPr>
        <w:t>术语和定义</w:t>
      </w:r>
      <w:bookmarkEnd w:id="38"/>
    </w:p>
    <w:bookmarkStart w:id="39" w:name="_Toc26986532" w:displacedByCustomXml="next"/>
    <w:bookmarkEnd w:id="39" w:displacedByCustomXml="next"/>
    <w:sdt>
      <w:sdtPr>
        <w:id w:val="-1909835108"/>
        <w:placeholder>
          <w:docPart w:val="5888585EE5BE46EF9C857549C5544EB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F001E2" w:rsidP="00BA263B">
          <w:pPr>
            <w:pStyle w:val="affffb"/>
            <w:ind w:firstLine="420"/>
          </w:pPr>
          <w:r>
            <w:t>本文件没有需要界定的术语和定义。</w:t>
          </w:r>
        </w:p>
      </w:sdtContent>
    </w:sdt>
    <w:p w:rsidR="004B3E93" w:rsidRDefault="00F001E2" w:rsidP="00F001E2">
      <w:pPr>
        <w:pStyle w:val="affc"/>
        <w:spacing w:before="240" w:after="240"/>
      </w:pPr>
      <w:r w:rsidRPr="00F001E2">
        <w:rPr>
          <w:rFonts w:hint="eastAsia"/>
        </w:rPr>
        <w:t>工作流程</w:t>
      </w:r>
    </w:p>
    <w:p w:rsidR="00F001E2" w:rsidRDefault="00F001E2" w:rsidP="00F001E2">
      <w:pPr>
        <w:pStyle w:val="affd"/>
        <w:spacing w:before="120" w:after="120"/>
      </w:pPr>
      <w:r w:rsidRPr="00F001E2">
        <w:rPr>
          <w:rFonts w:hint="eastAsia"/>
        </w:rPr>
        <w:t>信号检测</w:t>
      </w:r>
    </w:p>
    <w:p w:rsidR="00F001E2" w:rsidRPr="00F001E2" w:rsidRDefault="00F001E2" w:rsidP="00F001E2">
      <w:pPr>
        <w:pStyle w:val="affe"/>
        <w:spacing w:before="120" w:after="120"/>
        <w:rPr>
          <w:rFonts w:ascii="宋体" w:eastAsia="宋体" w:hAnsi="宋体"/>
        </w:rPr>
      </w:pPr>
      <w:r w:rsidRPr="00F001E2">
        <w:rPr>
          <w:rFonts w:ascii="宋体" w:eastAsia="宋体" w:hAnsi="宋体" w:hint="eastAsia"/>
        </w:rPr>
        <w:t>通过个例报告审阅、病例系列评价、病例报告汇总分析等进行信号检测，提出信号假设。</w:t>
      </w:r>
    </w:p>
    <w:p w:rsidR="002A1260" w:rsidRPr="00F001E2" w:rsidRDefault="00F001E2" w:rsidP="00F001E2">
      <w:pPr>
        <w:pStyle w:val="affe"/>
        <w:spacing w:before="120" w:after="120"/>
        <w:rPr>
          <w:rFonts w:ascii="宋体" w:eastAsia="宋体" w:hAnsi="宋体"/>
        </w:rPr>
      </w:pPr>
      <w:r w:rsidRPr="00F001E2">
        <w:rPr>
          <w:rFonts w:ascii="宋体" w:eastAsia="宋体" w:hAnsi="宋体" w:hint="eastAsia"/>
        </w:rPr>
        <w:t>检索国家药品监督管理局网站，如果相关药品已修订说明书增加了该风险提示，则关闭信号。</w:t>
      </w:r>
    </w:p>
    <w:p w:rsidR="001D212F" w:rsidRDefault="00F001E2" w:rsidP="00F001E2">
      <w:pPr>
        <w:pStyle w:val="affd"/>
        <w:spacing w:before="120" w:after="120"/>
      </w:pPr>
      <w:r w:rsidRPr="00F001E2">
        <w:rPr>
          <w:rFonts w:hint="eastAsia"/>
        </w:rPr>
        <w:t>信号确认</w:t>
      </w:r>
    </w:p>
    <w:p w:rsidR="00F001E2" w:rsidRDefault="00F001E2" w:rsidP="00F001E2">
      <w:pPr>
        <w:pStyle w:val="affe"/>
        <w:spacing w:before="120" w:after="120"/>
        <w:rPr>
          <w:rFonts w:ascii="宋体" w:eastAsia="宋体" w:hAnsi="宋体"/>
        </w:rPr>
      </w:pPr>
      <w:r w:rsidRPr="00F001E2">
        <w:rPr>
          <w:rFonts w:ascii="宋体" w:eastAsia="宋体" w:hAnsi="宋体" w:hint="eastAsia"/>
        </w:rPr>
        <w:t>对初步检出信号进行确认，重点对产品信号的个例报告进行分析，确认是否有必要开展进一步评估。</w:t>
      </w:r>
    </w:p>
    <w:p w:rsidR="00F001E2" w:rsidRDefault="00F001E2" w:rsidP="00F001E2">
      <w:pPr>
        <w:pStyle w:val="affe"/>
        <w:spacing w:before="120" w:after="120"/>
        <w:rPr>
          <w:rFonts w:ascii="宋体" w:eastAsia="宋体" w:hAnsi="宋体"/>
        </w:rPr>
      </w:pPr>
      <w:r w:rsidRPr="00F001E2">
        <w:rPr>
          <w:rFonts w:ascii="宋体" w:eastAsia="宋体" w:hAnsi="宋体" w:hint="eastAsia"/>
        </w:rPr>
        <w:t>核实报告质量。核实是否为雷同、重复报告、是否存在集中报告情形等；对于涉及重要脏器（如肝、肾）严重损害的报告，建议与报告单位沟通，核实报告的准确性和完整性，追溯相关详细信息，如患者原患疾病、合并用药、诊断、治疗过程详细、用药前后实验室检查指标等。</w:t>
      </w:r>
    </w:p>
    <w:p w:rsidR="00F001E2" w:rsidRDefault="00F001E2" w:rsidP="00F001E2">
      <w:pPr>
        <w:pStyle w:val="affe"/>
        <w:spacing w:before="120" w:after="120"/>
        <w:rPr>
          <w:rFonts w:ascii="宋体" w:eastAsia="宋体" w:hAnsi="宋体"/>
        </w:rPr>
      </w:pPr>
      <w:r w:rsidRPr="00F001E2">
        <w:rPr>
          <w:rFonts w:ascii="宋体" w:eastAsia="宋体" w:hAnsi="宋体" w:hint="eastAsia"/>
        </w:rPr>
        <w:t>确认不良事件与药品的关联性。时间关联性是否合理，是否受原患疾病影响（包括疾病本身或其并发症），是否受合并用药影响，去激发、再激发，文献中是否有相应报道。</w:t>
      </w:r>
    </w:p>
    <w:p w:rsidR="00F001E2" w:rsidRDefault="00F001E2" w:rsidP="00F001E2">
      <w:pPr>
        <w:pStyle w:val="affe"/>
        <w:spacing w:before="120" w:after="120"/>
        <w:rPr>
          <w:rFonts w:ascii="宋体" w:eastAsia="宋体" w:hAnsi="宋体"/>
        </w:rPr>
      </w:pPr>
      <w:r w:rsidRPr="00F001E2">
        <w:rPr>
          <w:rFonts w:ascii="宋体" w:eastAsia="宋体" w:hAnsi="宋体" w:hint="eastAsia"/>
        </w:rPr>
        <w:t>确认不良反应的严重性、严重程度、转归、可逆性及可预防性。</w:t>
      </w:r>
    </w:p>
    <w:p w:rsidR="00F001E2" w:rsidRDefault="00F001E2" w:rsidP="00F001E2">
      <w:pPr>
        <w:pStyle w:val="affe"/>
        <w:spacing w:before="120" w:after="120"/>
        <w:rPr>
          <w:rFonts w:ascii="宋体" w:eastAsia="宋体" w:hAnsi="宋体"/>
        </w:rPr>
      </w:pPr>
      <w:r w:rsidRPr="00F001E2">
        <w:rPr>
          <w:rFonts w:ascii="宋体" w:eastAsia="宋体" w:hAnsi="宋体" w:hint="eastAsia"/>
        </w:rPr>
        <w:t>查阅药品说明书是否收载相关安全信息，需注意不良事件是否为已知不良反应的伴随症状、并发症等。</w:t>
      </w:r>
    </w:p>
    <w:p w:rsidR="00F001E2" w:rsidRDefault="00F001E2" w:rsidP="00F001E2">
      <w:pPr>
        <w:pStyle w:val="affd"/>
        <w:spacing w:before="120" w:after="120"/>
      </w:pPr>
      <w:r w:rsidRPr="00F001E2">
        <w:rPr>
          <w:rFonts w:hint="eastAsia"/>
        </w:rPr>
        <w:t>信号评估</w:t>
      </w:r>
    </w:p>
    <w:p w:rsidR="00F001E2" w:rsidRPr="00A234E3" w:rsidRDefault="00A234E3" w:rsidP="00A234E3">
      <w:pPr>
        <w:pStyle w:val="affe"/>
        <w:spacing w:before="120" w:after="120"/>
        <w:rPr>
          <w:rFonts w:ascii="宋体" w:eastAsia="宋体" w:hAnsi="宋体"/>
        </w:rPr>
      </w:pPr>
      <w:r w:rsidRPr="00A234E3">
        <w:rPr>
          <w:rFonts w:ascii="宋体" w:eastAsia="宋体" w:hAnsi="宋体" w:hint="eastAsia"/>
        </w:rPr>
        <w:t>对经确认的信号开展评估，必要时可以邀请外部专家（如临床医生、药师、学术机构或药品上市许可持有人等）参与评估。评估时主要考虑以下几个方面：</w:t>
      </w:r>
    </w:p>
    <w:p w:rsidR="00A234E3" w:rsidRDefault="00A234E3" w:rsidP="00A234E3">
      <w:pPr>
        <w:pStyle w:val="af5"/>
      </w:pPr>
      <w:r>
        <w:rPr>
          <w:rFonts w:hint="eastAsia"/>
        </w:rPr>
        <w:t>患者情况：年龄、性别、原患疾病及其进展情况等</w:t>
      </w:r>
      <w:r w:rsidR="009D61D4">
        <w:rPr>
          <w:rFonts w:hint="eastAsia"/>
        </w:rPr>
        <w:t>；</w:t>
      </w:r>
    </w:p>
    <w:p w:rsidR="00A234E3" w:rsidRDefault="00A234E3" w:rsidP="00A234E3">
      <w:pPr>
        <w:pStyle w:val="af5"/>
      </w:pPr>
      <w:r>
        <w:rPr>
          <w:rFonts w:hint="eastAsia"/>
        </w:rPr>
        <w:t>用药情况：用药原因、用法用量、用药时间、合并用药等；</w:t>
      </w:r>
    </w:p>
    <w:p w:rsidR="00A234E3" w:rsidRDefault="00A234E3" w:rsidP="00A234E3">
      <w:pPr>
        <w:pStyle w:val="af5"/>
      </w:pPr>
      <w:r>
        <w:rPr>
          <w:rFonts w:hint="eastAsia"/>
        </w:rPr>
        <w:t>不良事件情况：发生时间、典型表现、严重程度和严重性、转归等；</w:t>
      </w:r>
    </w:p>
    <w:p w:rsidR="00A234E3" w:rsidRDefault="00A234E3" w:rsidP="00A234E3">
      <w:pPr>
        <w:pStyle w:val="af5"/>
      </w:pPr>
      <w:r>
        <w:rPr>
          <w:rFonts w:hint="eastAsia"/>
        </w:rPr>
        <w:t>去激发/再激发情况：个例报告中是否有去激发、再激发情况</w:t>
      </w:r>
      <w:r w:rsidR="009D61D4">
        <w:rPr>
          <w:rFonts w:hint="eastAsia"/>
        </w:rPr>
        <w:t>；</w:t>
      </w:r>
    </w:p>
    <w:p w:rsidR="007A5D3A" w:rsidRDefault="00A234E3" w:rsidP="00A234E3">
      <w:pPr>
        <w:pStyle w:val="af5"/>
      </w:pPr>
      <w:r>
        <w:rPr>
          <w:rFonts w:hint="eastAsia"/>
        </w:rPr>
        <w:lastRenderedPageBreak/>
        <w:t>其他情况：是否存在剂量暴露效应关系（即剂量越大，用药时间越大，不良事件发生概率越大或严重程度越高），是否可用药品功能主治或药理活性解释不良事件的可能发生原因。</w:t>
      </w:r>
    </w:p>
    <w:p w:rsidR="003E019F" w:rsidRDefault="00A234E3" w:rsidP="00A234E3">
      <w:pPr>
        <w:pStyle w:val="affe"/>
        <w:spacing w:before="120" w:after="120"/>
        <w:rPr>
          <w:rFonts w:ascii="宋体" w:eastAsia="宋体" w:hAnsi="宋体"/>
        </w:rPr>
      </w:pPr>
      <w:r w:rsidRPr="00A234E3">
        <w:rPr>
          <w:rFonts w:ascii="宋体" w:eastAsia="宋体" w:hAnsi="宋体" w:hint="eastAsia"/>
        </w:rPr>
        <w:t>对药品说明书进行分析。查阅不同持有人最新版说明书，分析信号所涉及的安全信息在不同持有人说明书中收载情况。</w:t>
      </w:r>
    </w:p>
    <w:p w:rsidR="00A234E3" w:rsidRPr="00A234E3" w:rsidRDefault="00A234E3" w:rsidP="00A234E3">
      <w:pPr>
        <w:pStyle w:val="affe"/>
        <w:spacing w:before="120" w:after="120"/>
        <w:rPr>
          <w:rFonts w:ascii="宋体" w:eastAsia="宋体" w:hAnsi="宋体"/>
        </w:rPr>
      </w:pPr>
      <w:r w:rsidRPr="00A234E3">
        <w:rPr>
          <w:rFonts w:ascii="宋体" w:eastAsia="宋体" w:hAnsi="宋体" w:hint="eastAsia"/>
        </w:rPr>
        <w:t>检索国内外文献数据库，分析涉及信号文献报道情况。国内文献数据库可检索中国知网、维普数据库、万方数据库、中国生物医学文献数据库、中华医学期刊全文数据库等；其他资料包括《中国药典》《临床用药须知》，以及与本品相关的临床诊疗指南或专家共识等。</w:t>
      </w:r>
    </w:p>
    <w:p w:rsidR="00A234E3" w:rsidRDefault="00A234E3" w:rsidP="00A234E3">
      <w:pPr>
        <w:pStyle w:val="afffffffff1"/>
      </w:pPr>
      <w:r w:rsidRPr="00A234E3">
        <w:rPr>
          <w:rFonts w:hint="eastAsia"/>
        </w:rPr>
        <w:t>注重用中医药理论指导中药信号评估。宜从医学专业和中医药理论解读，通过分析中药处方特点（药味药性、炮制方式、配伍等）、功能主治、合并用药、患者机体关系等，综合评判不良事件与中药是否存在合理的关联性。</w:t>
      </w:r>
    </w:p>
    <w:p w:rsidR="00A234E3" w:rsidRDefault="00A234E3" w:rsidP="00A234E3">
      <w:pPr>
        <w:pStyle w:val="affd"/>
        <w:spacing w:before="120" w:after="120"/>
      </w:pPr>
      <w:r w:rsidRPr="00A234E3">
        <w:rPr>
          <w:rFonts w:hint="eastAsia"/>
        </w:rPr>
        <w:t>提出信号处理建议</w:t>
      </w:r>
    </w:p>
    <w:p w:rsidR="00A234E3" w:rsidRDefault="00A234E3" w:rsidP="00A234E3">
      <w:pPr>
        <w:pStyle w:val="affffb"/>
        <w:ind w:firstLine="420"/>
      </w:pPr>
      <w:r w:rsidRPr="00A234E3">
        <w:rPr>
          <w:rFonts w:hint="eastAsia"/>
        </w:rPr>
        <w:t>通过对信号的分析评估，综合判断信号是否可能为新的药品安全风险。基于现有证据，对信号的评估结果分为三种：</w:t>
      </w:r>
    </w:p>
    <w:p w:rsidR="00A234E3" w:rsidRDefault="00A234E3" w:rsidP="00A234E3">
      <w:pPr>
        <w:pStyle w:val="af5"/>
        <w:numPr>
          <w:ilvl w:val="0"/>
          <w:numId w:val="32"/>
        </w:numPr>
      </w:pPr>
      <w:r w:rsidRPr="00A234E3">
        <w:rPr>
          <w:rFonts w:hint="eastAsia"/>
        </w:rPr>
        <w:t>关闭的信号</w:t>
      </w:r>
      <w:r w:rsidR="009D61D4" w:rsidRPr="009D61D4">
        <w:rPr>
          <w:rFonts w:hint="eastAsia"/>
        </w:rPr>
        <w:t>：</w:t>
      </w:r>
      <w:r w:rsidRPr="00A234E3">
        <w:rPr>
          <w:rFonts w:hint="eastAsia"/>
        </w:rPr>
        <w:t>经进一步确认、评估后，认为该信号可排除与药品有关，或药品风险已得到控制，或该风险正在采取控制措施等，无需采取进一步行动</w:t>
      </w:r>
      <w:r>
        <w:rPr>
          <w:rFonts w:hint="eastAsia"/>
        </w:rPr>
        <w:t>；</w:t>
      </w:r>
    </w:p>
    <w:p w:rsidR="00A234E3" w:rsidRDefault="00A234E3" w:rsidP="00A234E3">
      <w:pPr>
        <w:pStyle w:val="af5"/>
      </w:pPr>
      <w:r w:rsidRPr="00A234E3">
        <w:rPr>
          <w:rFonts w:hint="eastAsia"/>
        </w:rPr>
        <w:t>继续监测的信号</w:t>
      </w:r>
      <w:r w:rsidR="009D61D4" w:rsidRPr="009D61D4">
        <w:rPr>
          <w:rFonts w:hint="eastAsia"/>
        </w:rPr>
        <w:t>：</w:t>
      </w:r>
      <w:r w:rsidRPr="00A234E3">
        <w:rPr>
          <w:rFonts w:hint="eastAsia"/>
        </w:rPr>
        <w:t>认为有依据怀疑信号与所关注药品之间可能具有相关性，但证据不足，尚不能证实是药品的潜在风险，日常药物警戒工作中继续进行相关信息的收集、信号识别与评估等常规药物警戒活动</w:t>
      </w:r>
      <w:r>
        <w:rPr>
          <w:rFonts w:hint="eastAsia"/>
        </w:rPr>
        <w:t>；</w:t>
      </w:r>
    </w:p>
    <w:p w:rsidR="00A234E3" w:rsidRDefault="00A234E3" w:rsidP="00A234E3">
      <w:pPr>
        <w:pStyle w:val="af5"/>
      </w:pPr>
      <w:r w:rsidRPr="00A234E3">
        <w:rPr>
          <w:rFonts w:hint="eastAsia"/>
        </w:rPr>
        <w:t>确认的信号</w:t>
      </w:r>
      <w:r w:rsidR="009D61D4" w:rsidRPr="009D61D4">
        <w:rPr>
          <w:rFonts w:hint="eastAsia"/>
        </w:rPr>
        <w:t>：</w:t>
      </w:r>
      <w:r w:rsidRPr="00A234E3">
        <w:rPr>
          <w:rFonts w:hint="eastAsia"/>
        </w:rPr>
        <w:t>有充分的证据表明信号与所关注药品之间具有关联性，需要采取进一步行动。</w:t>
      </w:r>
    </w:p>
    <w:p w:rsidR="00A234E3" w:rsidRDefault="00A234E3" w:rsidP="00A234E3">
      <w:pPr>
        <w:pStyle w:val="affc"/>
        <w:spacing w:before="240" w:after="240"/>
      </w:pPr>
      <w:r w:rsidRPr="00A234E3">
        <w:rPr>
          <w:rFonts w:hint="eastAsia"/>
        </w:rPr>
        <w:t>重点关注的情形及药品</w:t>
      </w:r>
    </w:p>
    <w:p w:rsidR="00A234E3" w:rsidRDefault="00A234E3" w:rsidP="00A234E3">
      <w:pPr>
        <w:pStyle w:val="affd"/>
        <w:spacing w:before="120" w:after="120"/>
      </w:pPr>
      <w:r w:rsidRPr="00A234E3">
        <w:rPr>
          <w:rFonts w:hint="eastAsia"/>
        </w:rPr>
        <w:t>重点关注情形</w:t>
      </w:r>
    </w:p>
    <w:p w:rsidR="00A234E3" w:rsidRDefault="00A234E3" w:rsidP="00A234E3">
      <w:pPr>
        <w:pStyle w:val="af5"/>
        <w:numPr>
          <w:ilvl w:val="0"/>
          <w:numId w:val="0"/>
        </w:numPr>
        <w:ind w:left="425"/>
      </w:pPr>
      <w:r w:rsidRPr="00A234E3">
        <w:rPr>
          <w:rFonts w:hint="eastAsia"/>
        </w:rPr>
        <w:t>重点关注情形</w:t>
      </w:r>
      <w:r>
        <w:rPr>
          <w:rFonts w:hint="eastAsia"/>
        </w:rPr>
        <w:t>如下：</w:t>
      </w:r>
    </w:p>
    <w:p w:rsidR="00A234E3" w:rsidRDefault="00A234E3" w:rsidP="00A234E3">
      <w:pPr>
        <w:pStyle w:val="af2"/>
      </w:pPr>
      <w:r>
        <w:rPr>
          <w:rFonts w:hint="eastAsia"/>
        </w:rPr>
        <w:t>药品说明中未载明的涉及肝损伤、肾损害、血液系统损害、严重皮肤年末损害、过敏性休克、严重过敏样反应等安全性问题；</w:t>
      </w:r>
    </w:p>
    <w:p w:rsidR="00A234E3" w:rsidRDefault="00A234E3" w:rsidP="00A234E3">
      <w:pPr>
        <w:pStyle w:val="af2"/>
      </w:pPr>
      <w:r>
        <w:rPr>
          <w:rFonts w:hint="eastAsia"/>
        </w:rPr>
        <w:t>说明书【不良反应】缺失的信息，如皮疹、瘙痒、恶心、呕吐、腹部不适、腹痛、腹泻等未合并脏器损伤的口服制剂一般不良反应/事件通常不宜视为信号；</w:t>
      </w:r>
    </w:p>
    <w:p w:rsidR="00A234E3" w:rsidRDefault="00A234E3" w:rsidP="00A234E3">
      <w:pPr>
        <w:pStyle w:val="af2"/>
      </w:pPr>
      <w:r w:rsidRPr="00A234E3">
        <w:rPr>
          <w:rFonts w:hint="eastAsia"/>
        </w:rPr>
        <w:t>药品说明中已载明的不良反应，但发生频率、严重程度等明显增加的</w:t>
      </w:r>
      <w:r>
        <w:rPr>
          <w:rFonts w:hint="eastAsia"/>
        </w:rPr>
        <w:t>；</w:t>
      </w:r>
    </w:p>
    <w:p w:rsidR="00A234E3" w:rsidRDefault="00A234E3" w:rsidP="00A234E3">
      <w:pPr>
        <w:pStyle w:val="af2"/>
      </w:pPr>
      <w:r w:rsidRPr="00A234E3">
        <w:rPr>
          <w:rFonts w:hint="eastAsia"/>
        </w:rPr>
        <w:t>涉及特殊人群用药风险的，如妊娠期、哺乳期、婴幼儿和儿童、老年人、肝肾疾病患者等；</w:t>
      </w:r>
    </w:p>
    <w:p w:rsidR="00A234E3" w:rsidRDefault="00A234E3" w:rsidP="00A234E3">
      <w:pPr>
        <w:pStyle w:val="af2"/>
      </w:pPr>
      <w:r w:rsidRPr="00A234E3">
        <w:rPr>
          <w:rFonts w:hint="eastAsia"/>
        </w:rPr>
        <w:t>涉及滥用、误用、用药错误、超说明书用药的不良反应/事件</w:t>
      </w:r>
      <w:r>
        <w:rPr>
          <w:rFonts w:hint="eastAsia"/>
        </w:rPr>
        <w:t>；</w:t>
      </w:r>
    </w:p>
    <w:p w:rsidR="00A234E3" w:rsidRDefault="00A234E3" w:rsidP="00A234E3">
      <w:pPr>
        <w:pStyle w:val="af2"/>
      </w:pPr>
      <w:r w:rsidRPr="00A234E3">
        <w:rPr>
          <w:rFonts w:hint="eastAsia"/>
        </w:rPr>
        <w:t>可能涉及不合理用药的，如不合理的超适应症用药，禁忌症用药，超疗程、超剂量用药等；</w:t>
      </w:r>
    </w:p>
    <w:p w:rsidR="00A234E3" w:rsidRDefault="00A234E3" w:rsidP="00A234E3">
      <w:pPr>
        <w:pStyle w:val="af2"/>
      </w:pPr>
      <w:r w:rsidRPr="00A234E3">
        <w:rPr>
          <w:rFonts w:hint="eastAsia"/>
        </w:rPr>
        <w:t>疑似新的药品与药品、药品与医疗器械、药品与食品间相互作用导致的药品不良反应/事件。</w:t>
      </w:r>
    </w:p>
    <w:p w:rsidR="00A234E3" w:rsidRDefault="00A234E3" w:rsidP="00A234E3">
      <w:pPr>
        <w:pStyle w:val="affd"/>
        <w:spacing w:before="120" w:after="120"/>
      </w:pPr>
      <w:r w:rsidRPr="00A234E3">
        <w:rPr>
          <w:rFonts w:hint="eastAsia"/>
        </w:rPr>
        <w:t>重点关注的药品</w:t>
      </w:r>
    </w:p>
    <w:p w:rsidR="00A234E3" w:rsidRDefault="00A234E3" w:rsidP="00A234E3">
      <w:pPr>
        <w:pStyle w:val="affffb"/>
        <w:ind w:firstLine="420"/>
      </w:pPr>
      <w:r w:rsidRPr="00A234E3">
        <w:rPr>
          <w:rFonts w:hint="eastAsia"/>
        </w:rPr>
        <w:t>重点关注的药品</w:t>
      </w:r>
      <w:r>
        <w:rPr>
          <w:rFonts w:hint="eastAsia"/>
        </w:rPr>
        <w:t>如下：</w:t>
      </w:r>
    </w:p>
    <w:p w:rsidR="00A234E3" w:rsidRDefault="00A234E3" w:rsidP="009D61D4">
      <w:pPr>
        <w:pStyle w:val="af5"/>
        <w:numPr>
          <w:ilvl w:val="0"/>
          <w:numId w:val="33"/>
        </w:numPr>
      </w:pPr>
      <w:r w:rsidRPr="00A234E3">
        <w:rPr>
          <w:rFonts w:hint="eastAsia"/>
        </w:rPr>
        <w:t>5年内批准上市的中药；</w:t>
      </w:r>
    </w:p>
    <w:p w:rsidR="00A234E3" w:rsidRDefault="00A234E3" w:rsidP="009D61D4">
      <w:pPr>
        <w:pStyle w:val="af5"/>
      </w:pPr>
      <w:r w:rsidRPr="00A234E3">
        <w:rPr>
          <w:rFonts w:hint="eastAsia"/>
        </w:rPr>
        <w:t>含地区性民间习用药材的药品；</w:t>
      </w:r>
    </w:p>
    <w:p w:rsidR="00A234E3" w:rsidRDefault="00A234E3" w:rsidP="009D61D4">
      <w:pPr>
        <w:pStyle w:val="af5"/>
      </w:pPr>
      <w:r w:rsidRPr="00A234E3">
        <w:rPr>
          <w:rFonts w:hint="eastAsia"/>
        </w:rPr>
        <w:t>具有严重的潜在风险或发现安全性信号的药品；</w:t>
      </w:r>
    </w:p>
    <w:p w:rsidR="00A234E3" w:rsidRDefault="00A234E3" w:rsidP="009D61D4">
      <w:pPr>
        <w:pStyle w:val="af5"/>
      </w:pPr>
      <w:r w:rsidRPr="00A234E3">
        <w:rPr>
          <w:rFonts w:hint="eastAsia"/>
        </w:rPr>
        <w:t>含有毒性药材的药品；</w:t>
      </w:r>
    </w:p>
    <w:p w:rsidR="00A234E3" w:rsidRDefault="00A234E3" w:rsidP="009D61D4">
      <w:pPr>
        <w:pStyle w:val="af5"/>
      </w:pPr>
      <w:r w:rsidRPr="00A234E3">
        <w:rPr>
          <w:rFonts w:hint="eastAsia"/>
        </w:rPr>
        <w:t>含有肝伤害、肾损害或对身体其他器官等造成损害（文献已报道）的中药材的药品；</w:t>
      </w:r>
    </w:p>
    <w:p w:rsidR="00A234E3" w:rsidRDefault="00A234E3" w:rsidP="009D61D4">
      <w:pPr>
        <w:pStyle w:val="af5"/>
      </w:pPr>
      <w:r w:rsidRPr="00A234E3">
        <w:rPr>
          <w:rFonts w:hint="eastAsia"/>
        </w:rPr>
        <w:t>处方药味日用量明显超出该药材标准日用量的</w:t>
      </w:r>
      <w:r w:rsidR="008E0FCC">
        <w:rPr>
          <w:rFonts w:hint="eastAsia"/>
        </w:rPr>
        <w:t>；</w:t>
      </w:r>
    </w:p>
    <w:p w:rsidR="00A234E3" w:rsidRDefault="00A234E3" w:rsidP="009D61D4">
      <w:pPr>
        <w:pStyle w:val="af5"/>
      </w:pPr>
      <w:r w:rsidRPr="00A234E3">
        <w:rPr>
          <w:rFonts w:hint="eastAsia"/>
        </w:rPr>
        <w:t>可能引起社会关注的药品</w:t>
      </w:r>
      <w:r w:rsidR="008E0FCC">
        <w:rPr>
          <w:rFonts w:hint="eastAsia"/>
        </w:rPr>
        <w:t>。</w:t>
      </w:r>
    </w:p>
    <w:p w:rsidR="008E0FCC" w:rsidRDefault="008E0FCC" w:rsidP="008E0FCC">
      <w:pPr>
        <w:pStyle w:val="2"/>
        <w:numPr>
          <w:ilvl w:val="0"/>
          <w:numId w:val="0"/>
        </w:numPr>
      </w:pPr>
    </w:p>
    <w:p w:rsidR="008E0FCC" w:rsidRPr="00A234E3" w:rsidRDefault="008E0FCC" w:rsidP="008E0FCC">
      <w:pPr>
        <w:pStyle w:val="2"/>
        <w:numPr>
          <w:ilvl w:val="0"/>
          <w:numId w:val="0"/>
        </w:numPr>
        <w:ind w:left="851"/>
        <w:jc w:val="center"/>
      </w:pPr>
      <w:bookmarkStart w:id="40" w:name="BookMark8"/>
      <w:bookmarkEnd w:id="1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0"/>
    </w:p>
    <w:sectPr w:rsidR="008E0FCC" w:rsidRPr="00A234E3" w:rsidSect="000B5D97">
      <w:headerReference w:type="even" r:id="rId21"/>
      <w:headerReference w:type="default" r:id="rId22"/>
      <w:footerReference w:type="even" r:id="rId23"/>
      <w:footerReference w:type="default" r:id="rId24"/>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28F" w:rsidRDefault="0062228F" w:rsidP="00D86DB7">
      <w:r>
        <w:separator/>
      </w:r>
    </w:p>
    <w:p w:rsidR="0062228F" w:rsidRDefault="0062228F"/>
    <w:p w:rsidR="0062228F" w:rsidRDefault="0062228F"/>
  </w:endnote>
  <w:endnote w:type="continuationSeparator" w:id="0">
    <w:p w:rsidR="0062228F" w:rsidRDefault="0062228F" w:rsidP="00D86DB7">
      <w:r>
        <w:continuationSeparator/>
      </w:r>
    </w:p>
    <w:p w:rsidR="0062228F" w:rsidRDefault="0062228F"/>
    <w:p w:rsidR="0062228F" w:rsidRDefault="00622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97" w:rsidRPr="000B5D97" w:rsidRDefault="000B5D97" w:rsidP="000B5D97">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0B5D97">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97" w:rsidRPr="000B5D97" w:rsidRDefault="000B5D97" w:rsidP="000B5D97">
    <w:pPr>
      <w:pStyle w:val="affff7"/>
    </w:pPr>
    <w:r>
      <w:fldChar w:fldCharType="begin"/>
    </w:r>
    <w:r>
      <w:instrText xml:space="preserve"> PAGE   \* MERGEFORMAT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97" w:rsidRDefault="000B5D97" w:rsidP="000B5D97">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28F" w:rsidRDefault="0062228F" w:rsidP="00D86DB7">
      <w:r>
        <w:separator/>
      </w:r>
    </w:p>
  </w:footnote>
  <w:footnote w:type="continuationSeparator" w:id="0">
    <w:p w:rsidR="0062228F" w:rsidRDefault="0062228F" w:rsidP="00D86DB7">
      <w:r>
        <w:continuationSeparator/>
      </w:r>
    </w:p>
    <w:p w:rsidR="0062228F" w:rsidRDefault="0062228F"/>
    <w:p w:rsidR="0062228F" w:rsidRDefault="00622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Pr="000B5D97" w:rsidRDefault="000B5D97" w:rsidP="000B5D97">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0B5D97">
    <w:pPr>
      <w:pStyle w:val="afffff0"/>
    </w:pPr>
    <w:r>
      <w:fldChar w:fldCharType="begin"/>
    </w:r>
    <w:r>
      <w:instrText xml:space="preserve"> STYLEREF  标准文件_文件编号  \* MERGEFORMAT </w:instrText>
    </w:r>
    <w:r>
      <w:fldChar w:fldCharType="separate"/>
    </w:r>
    <w:r w:rsidR="00EF40F3">
      <w:t>T/NMSP XXXX</w:t>
    </w:r>
    <w:r w:rsidR="00EF40F3">
      <w:t>—</w:t>
    </w:r>
    <w:r w:rsidR="00EF40F3">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97" w:rsidRPr="000B5D97" w:rsidRDefault="000B5D97" w:rsidP="000B5D97">
    <w:pPr>
      <w:pStyle w:val="afffff1"/>
    </w:pPr>
    <w:r>
      <w:fldChar w:fldCharType="begin"/>
    </w:r>
    <w:r>
      <w:instrText xml:space="preserve"> STYLEREF  标准文件_文件编号 \* MERGEFORMAT </w:instrText>
    </w:r>
    <w:r>
      <w:fldChar w:fldCharType="separate"/>
    </w:r>
    <w:r w:rsidR="00EF40F3">
      <w:t>T/NMSP XXXX</w:t>
    </w:r>
    <w:r w:rsidR="00EF40F3">
      <w:t>—</w:t>
    </w:r>
    <w:r w:rsidR="00EF40F3">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97" w:rsidRPr="00D84FA1" w:rsidRDefault="000B5D97" w:rsidP="000B5D97">
    <w:pPr>
      <w:pStyle w:val="afffff0"/>
    </w:pPr>
    <w:r>
      <w:fldChar w:fldCharType="begin"/>
    </w:r>
    <w:r>
      <w:instrText xml:space="preserve"> STYLEREF  标准文件_文件编号  \* MERGEFORMAT </w:instrText>
    </w:r>
    <w:r>
      <w:fldChar w:fldCharType="separate"/>
    </w:r>
    <w:r w:rsidR="00EF40F3">
      <w:t>T/NMSP XXXX</w:t>
    </w:r>
    <w:r w:rsidR="00EF40F3">
      <w:t>—</w:t>
    </w:r>
    <w:r w:rsidR="00EF40F3">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6"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B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D97"/>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41D"/>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4A5F"/>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480"/>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187"/>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228F"/>
    <w:rsid w:val="006247D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7AC"/>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6D2"/>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0FCC"/>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1D4"/>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4E3"/>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6B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B06"/>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2B0C"/>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8B9"/>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00D"/>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0F3"/>
    <w:rsid w:val="00EF7E72"/>
    <w:rsid w:val="00F001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5F5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8FDA5"/>
  <w15:docId w15:val="{68D02D10-59FF-4E11-8D5D-EFA7232B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left="851"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qFormat/>
    <w:rsid w:val="00E278B9"/>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sid w:val="00E278B9"/>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0A7B984168408790295901917167A0"/>
        <w:category>
          <w:name w:val="常规"/>
          <w:gallery w:val="placeholder"/>
        </w:category>
        <w:types>
          <w:type w:val="bbPlcHdr"/>
        </w:types>
        <w:behaviors>
          <w:behavior w:val="content"/>
        </w:behaviors>
        <w:guid w:val="{EFAC0284-DDF5-42C9-9EC3-C3F4E362E156}"/>
      </w:docPartPr>
      <w:docPartBody>
        <w:p w:rsidR="00333833" w:rsidRDefault="0023561D">
          <w:pPr>
            <w:pStyle w:val="180A7B984168408790295901917167A0"/>
          </w:pPr>
          <w:r w:rsidRPr="00751A05">
            <w:rPr>
              <w:rStyle w:val="a3"/>
              <w:rFonts w:hint="eastAsia"/>
            </w:rPr>
            <w:t>单击或点击此处输入文字。</w:t>
          </w:r>
        </w:p>
      </w:docPartBody>
    </w:docPart>
    <w:docPart>
      <w:docPartPr>
        <w:name w:val="E82FCBCCC4A845D09107B3CDBF9FB7A2"/>
        <w:category>
          <w:name w:val="常规"/>
          <w:gallery w:val="placeholder"/>
        </w:category>
        <w:types>
          <w:type w:val="bbPlcHdr"/>
        </w:types>
        <w:behaviors>
          <w:behavior w:val="content"/>
        </w:behaviors>
        <w:guid w:val="{F8AD27E3-5C73-43CE-8818-2CFC9FA43EE2}"/>
      </w:docPartPr>
      <w:docPartBody>
        <w:p w:rsidR="00333833" w:rsidRDefault="0023561D">
          <w:pPr>
            <w:pStyle w:val="E82FCBCCC4A845D09107B3CDBF9FB7A2"/>
          </w:pPr>
          <w:r w:rsidRPr="00FB6243">
            <w:rPr>
              <w:rStyle w:val="a3"/>
              <w:rFonts w:hint="eastAsia"/>
            </w:rPr>
            <w:t>选择一项。</w:t>
          </w:r>
        </w:p>
      </w:docPartBody>
    </w:docPart>
    <w:docPart>
      <w:docPartPr>
        <w:name w:val="5888585EE5BE46EF9C857549C5544EB9"/>
        <w:category>
          <w:name w:val="常规"/>
          <w:gallery w:val="placeholder"/>
        </w:category>
        <w:types>
          <w:type w:val="bbPlcHdr"/>
        </w:types>
        <w:behaviors>
          <w:behavior w:val="content"/>
        </w:behaviors>
        <w:guid w:val="{DD09E660-BF99-4D7E-808E-3DE806DEDFD2}"/>
      </w:docPartPr>
      <w:docPartBody>
        <w:p w:rsidR="00333833" w:rsidRDefault="0023561D">
          <w:pPr>
            <w:pStyle w:val="5888585EE5BE46EF9C857549C5544EB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1D"/>
    <w:rsid w:val="00200FE4"/>
    <w:rsid w:val="0023561D"/>
    <w:rsid w:val="00333833"/>
    <w:rsid w:val="0076669C"/>
    <w:rsid w:val="007B0672"/>
    <w:rsid w:val="00C0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80A7B984168408790295901917167A0">
    <w:name w:val="180A7B984168408790295901917167A0"/>
    <w:pPr>
      <w:widowControl w:val="0"/>
      <w:jc w:val="both"/>
    </w:pPr>
  </w:style>
  <w:style w:type="paragraph" w:customStyle="1" w:styleId="E82FCBCCC4A845D09107B3CDBF9FB7A2">
    <w:name w:val="E82FCBCCC4A845D09107B3CDBF9FB7A2"/>
    <w:pPr>
      <w:widowControl w:val="0"/>
      <w:jc w:val="both"/>
    </w:pPr>
  </w:style>
  <w:style w:type="paragraph" w:customStyle="1" w:styleId="5888585EE5BE46EF9C857549C5544EB9">
    <w:name w:val="5888585EE5BE46EF9C857549C5544EB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722A2-2BE7-4AFA-A218-5E1D4C4D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148</TotalTime>
  <Pages>1</Pages>
  <Words>375</Words>
  <Characters>2140</Characters>
  <Application>Microsoft Office Word</Application>
  <DocSecurity>0</DocSecurity>
  <Lines>17</Lines>
  <Paragraphs>5</Paragraphs>
  <ScaleCrop>false</ScaleCrop>
  <Company>PCMI</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zc</dc:creator>
  <cp:keywords/>
  <dc:description>&lt;config cover="true" show_menu="true" version="1.0.0" doctype="SDKXY"&gt;_x000d_
&lt;/config&gt;</dc:description>
  <cp:lastModifiedBy>zc</cp:lastModifiedBy>
  <cp:revision>12</cp:revision>
  <cp:lastPrinted>2021-02-02T08:22:00Z</cp:lastPrinted>
  <dcterms:created xsi:type="dcterms:W3CDTF">2025-11-06T02:29:00Z</dcterms:created>
  <dcterms:modified xsi:type="dcterms:W3CDTF">2025-11-24T07:34:00Z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