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ind w:firstLineChars="0" w:firstLine="0"/>
        <w:jc w:val="center"/>
        <w:rPr>
          <w:rFonts w:ascii="方正小标宋简体" w:eastAsia="方正小标宋简体" w:hAnsi="华文中宋"/>
          <w:sz w:val="52"/>
          <w:szCs w:val="52"/>
        </w:rPr>
      </w:pPr>
    </w:p>
    <w:p w:rsidR="00F70005" w:rsidRDefault="00F70005">
      <w:pPr>
        <w:pStyle w:val="a0"/>
        <w:ind w:firstLine="360"/>
      </w:pPr>
    </w:p>
    <w:p w:rsidR="00F70005" w:rsidRDefault="005F3C9E">
      <w:pPr>
        <w:ind w:firstLineChars="0"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w:t>
      </w:r>
      <w:r w:rsidR="00177C5F" w:rsidRPr="00177C5F">
        <w:rPr>
          <w:rFonts w:ascii="方正小标宋简体" w:eastAsia="方正小标宋简体" w:hAnsi="华文中宋" w:hint="eastAsia"/>
          <w:sz w:val="44"/>
          <w:szCs w:val="44"/>
        </w:rPr>
        <w:t>中药不良反应风险信号提取工作指南</w:t>
      </w:r>
      <w:r>
        <w:rPr>
          <w:rFonts w:ascii="方正小标宋简体" w:eastAsia="方正小标宋简体" w:hAnsi="华文中宋" w:hint="eastAsia"/>
          <w:sz w:val="44"/>
          <w:szCs w:val="44"/>
        </w:rPr>
        <w:t>》</w:t>
      </w:r>
    </w:p>
    <w:p w:rsidR="00F70005" w:rsidRDefault="005F3C9E">
      <w:pPr>
        <w:ind w:firstLineChars="0" w:firstLine="0"/>
        <w:jc w:val="center"/>
        <w:rPr>
          <w:rFonts w:ascii="方正小标宋简体" w:eastAsia="方正小标宋简体" w:hAnsi="华文中宋"/>
          <w:sz w:val="52"/>
          <w:szCs w:val="52"/>
        </w:rPr>
      </w:pPr>
      <w:r>
        <w:rPr>
          <w:rFonts w:ascii="方正小标宋简体" w:eastAsia="方正小标宋简体" w:hAnsi="华文中宋" w:hint="eastAsia"/>
          <w:sz w:val="44"/>
          <w:szCs w:val="44"/>
        </w:rPr>
        <w:t>团体标准编制说明</w:t>
      </w: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1044"/>
        <w:jc w:val="center"/>
        <w:rPr>
          <w:rFonts w:ascii="宋体" w:eastAsia="宋体" w:hAnsi="宋体"/>
          <w:b/>
          <w:sz w:val="52"/>
          <w:szCs w:val="52"/>
        </w:rPr>
      </w:pPr>
    </w:p>
    <w:p w:rsidR="00F70005" w:rsidRDefault="00F70005">
      <w:pPr>
        <w:spacing w:before="312" w:after="156"/>
        <w:ind w:firstLine="720"/>
        <w:jc w:val="center"/>
        <w:rPr>
          <w:rFonts w:ascii="黑体" w:eastAsia="黑体" w:hAnsi="黑体"/>
          <w:sz w:val="36"/>
          <w:szCs w:val="36"/>
        </w:rPr>
      </w:pPr>
    </w:p>
    <w:p w:rsidR="00F70005" w:rsidRDefault="00F70005">
      <w:pPr>
        <w:spacing w:before="312" w:after="156"/>
        <w:ind w:firstLine="720"/>
        <w:jc w:val="center"/>
        <w:rPr>
          <w:rFonts w:ascii="黑体" w:eastAsia="黑体" w:hAnsi="黑体"/>
          <w:sz w:val="36"/>
          <w:szCs w:val="36"/>
        </w:rPr>
      </w:pPr>
    </w:p>
    <w:p w:rsidR="00F70005" w:rsidRDefault="00F70005">
      <w:pPr>
        <w:spacing w:before="312" w:after="156"/>
        <w:ind w:firstLine="720"/>
        <w:jc w:val="center"/>
        <w:rPr>
          <w:rFonts w:ascii="黑体" w:eastAsia="黑体" w:hAnsi="黑体"/>
          <w:sz w:val="36"/>
          <w:szCs w:val="36"/>
        </w:rPr>
      </w:pPr>
    </w:p>
    <w:p w:rsidR="00F70005" w:rsidRDefault="005F3C9E">
      <w:pPr>
        <w:spacing w:before="312" w:after="156"/>
        <w:ind w:firstLineChars="0" w:firstLine="0"/>
        <w:jc w:val="center"/>
        <w:rPr>
          <w:rFonts w:ascii="黑体" w:eastAsia="黑体" w:hAnsi="黑体"/>
          <w:sz w:val="36"/>
          <w:szCs w:val="36"/>
        </w:rPr>
      </w:pPr>
      <w:r>
        <w:rPr>
          <w:rFonts w:ascii="黑体" w:eastAsia="黑体" w:hAnsi="黑体" w:hint="eastAsia"/>
          <w:sz w:val="36"/>
          <w:szCs w:val="36"/>
        </w:rPr>
        <w:t>标准起草组</w:t>
      </w:r>
    </w:p>
    <w:p w:rsidR="00F70005" w:rsidRDefault="005F3C9E">
      <w:pPr>
        <w:spacing w:before="312" w:after="156"/>
        <w:ind w:firstLineChars="0" w:firstLine="0"/>
        <w:jc w:val="center"/>
        <w:rPr>
          <w:rFonts w:ascii="黑体" w:eastAsia="黑体" w:hAnsi="黑体"/>
          <w:sz w:val="36"/>
          <w:szCs w:val="36"/>
        </w:rPr>
      </w:pPr>
      <w:r>
        <w:rPr>
          <w:rFonts w:ascii="黑体" w:eastAsia="黑体" w:hAnsi="黑体" w:hint="eastAsia"/>
          <w:sz w:val="36"/>
          <w:szCs w:val="36"/>
        </w:rPr>
        <w:t>二零二五年十一月</w:t>
      </w:r>
    </w:p>
    <w:p w:rsidR="00F70005" w:rsidRDefault="00F70005">
      <w:pPr>
        <w:widowControl/>
        <w:ind w:firstLine="720"/>
        <w:rPr>
          <w:rFonts w:ascii="黑体" w:eastAsia="黑体" w:hAnsi="黑体"/>
          <w:sz w:val="36"/>
          <w:szCs w:val="36"/>
        </w:rPr>
        <w:sectPr w:rsidR="00F70005">
          <w:footerReference w:type="even" r:id="rId6"/>
          <w:footerReference w:type="default" r:id="rId7"/>
          <w:footerReference w:type="first" r:id="rId8"/>
          <w:pgSz w:w="11906" w:h="16838"/>
          <w:pgMar w:top="2098" w:right="1474" w:bottom="1985" w:left="1588" w:header="851" w:footer="992" w:gutter="0"/>
          <w:cols w:space="720"/>
          <w:docGrid w:type="lines" w:linePitch="312"/>
        </w:sectPr>
      </w:pPr>
    </w:p>
    <w:p w:rsidR="00F70005" w:rsidRDefault="005F3C9E">
      <w:pPr>
        <w:pStyle w:val="1"/>
        <w:ind w:firstLine="640"/>
      </w:pPr>
      <w:r>
        <w:rPr>
          <w:rFonts w:hint="eastAsia"/>
        </w:rPr>
        <w:lastRenderedPageBreak/>
        <w:t>一、工作简况</w:t>
      </w:r>
    </w:p>
    <w:p w:rsidR="00F70005" w:rsidRDefault="005F3C9E">
      <w:pPr>
        <w:pStyle w:val="2"/>
        <w:spacing w:line="560" w:lineRule="exact"/>
        <w:ind w:firstLine="640"/>
      </w:pPr>
      <w:r>
        <w:rPr>
          <w:rFonts w:hint="eastAsia"/>
        </w:rPr>
        <w:t>1</w:t>
      </w:r>
      <w:r>
        <w:rPr>
          <w:rFonts w:hint="eastAsia"/>
        </w:rPr>
        <w:t>、项目来源</w:t>
      </w:r>
      <w:r>
        <w:rPr>
          <w:rFonts w:hint="eastAsia"/>
        </w:rPr>
        <w:t xml:space="preserve"> </w:t>
      </w:r>
    </w:p>
    <w:p w:rsidR="00F70005" w:rsidRDefault="005F3C9E">
      <w:pPr>
        <w:pStyle w:val="af0"/>
        <w:ind w:firstLine="640"/>
      </w:pPr>
      <w:r>
        <w:rPr>
          <w:rFonts w:hint="eastAsia"/>
        </w:rPr>
        <w:t>国家药品监督管理局药品评价中心（国家药品不良反应监测中心）明确将</w:t>
      </w:r>
      <w:r>
        <w:rPr>
          <w:rFonts w:hint="eastAsia"/>
        </w:rPr>
        <w:t xml:space="preserve"> </w:t>
      </w:r>
      <w:r>
        <w:rPr>
          <w:rFonts w:hint="eastAsia"/>
        </w:rPr>
        <w:t>“组织制定修订药物滥用监测的技术标准和规范”</w:t>
      </w:r>
      <w:r>
        <w:rPr>
          <w:rFonts w:hint="eastAsia"/>
        </w:rPr>
        <w:t xml:space="preserve"> </w:t>
      </w:r>
      <w:r>
        <w:rPr>
          <w:rFonts w:hint="eastAsia"/>
        </w:rPr>
        <w:t>列为核心职责，该团体标准的编制是对这一法定职责的具体响应，属于国家监测体系标准化建设的重要环节。同时，标准严格依据《药品管理法》《禁毒法》等法律法规编制，与国家禁毒委员会部署的</w:t>
      </w:r>
      <w:r>
        <w:rPr>
          <w:rFonts w:hint="eastAsia"/>
        </w:rPr>
        <w:t xml:space="preserve"> </w:t>
      </w:r>
      <w:r>
        <w:rPr>
          <w:rFonts w:hint="eastAsia"/>
        </w:rPr>
        <w:t>“完善药物滥用监测体制机制”</w:t>
      </w:r>
      <w:r>
        <w:rPr>
          <w:rFonts w:hint="eastAsia"/>
        </w:rPr>
        <w:t xml:space="preserve"> </w:t>
      </w:r>
      <w:r>
        <w:rPr>
          <w:rFonts w:hint="eastAsia"/>
        </w:rPr>
        <w:t>要求高度契合，体现了政策执行的连贯性。</w:t>
      </w:r>
    </w:p>
    <w:p w:rsidR="00F70005" w:rsidRDefault="005F3C9E">
      <w:pPr>
        <w:pStyle w:val="2"/>
        <w:spacing w:line="560" w:lineRule="exact"/>
        <w:ind w:firstLine="640"/>
      </w:pPr>
      <w:r>
        <w:rPr>
          <w:rFonts w:hint="eastAsia"/>
        </w:rPr>
        <w:t>2</w:t>
      </w:r>
      <w:r>
        <w:rPr>
          <w:rFonts w:hint="eastAsia"/>
        </w:rPr>
        <w:t>、主要起草单位及起草人员</w:t>
      </w:r>
    </w:p>
    <w:p w:rsidR="00F70005" w:rsidRDefault="005F3C9E">
      <w:pPr>
        <w:pStyle w:val="af0"/>
        <w:ind w:firstLine="640"/>
      </w:pPr>
      <w:bookmarkStart w:id="0" w:name="OLE_LINK1"/>
      <w:r>
        <w:rPr>
          <w:rFonts w:hint="eastAsia"/>
        </w:rPr>
        <w:t>主要起草单位：内蒙古自治区药品审评和药物警戒中心、内蒙古自治区质量和标准化研究院</w:t>
      </w:r>
    </w:p>
    <w:p w:rsidR="00F70005" w:rsidRDefault="005F3C9E">
      <w:pPr>
        <w:pStyle w:val="af0"/>
        <w:ind w:firstLine="640"/>
      </w:pPr>
      <w:r>
        <w:rPr>
          <w:rFonts w:hint="eastAsia"/>
        </w:rPr>
        <w:t>主要起草人员：</w:t>
      </w:r>
      <w:bookmarkEnd w:id="0"/>
      <w:r>
        <w:rPr>
          <w:rFonts w:hint="eastAsia"/>
        </w:rPr>
        <w:t>王振兴、张倩、世伟、王聪慧、袁新敏、包翰东、阿拉腾花、皮松宁</w:t>
      </w:r>
    </w:p>
    <w:p w:rsidR="00F70005" w:rsidRDefault="005F3C9E">
      <w:pPr>
        <w:pStyle w:val="1"/>
        <w:ind w:firstLine="640"/>
        <w:rPr>
          <w:rFonts w:hAnsi="仿宋_GB2312" w:cs="仿宋_GB2312"/>
        </w:rPr>
      </w:pPr>
      <w:r>
        <w:rPr>
          <w:rFonts w:hint="eastAsia"/>
        </w:rPr>
        <w:t>二、标准制定的目的和意义</w:t>
      </w:r>
    </w:p>
    <w:p w:rsidR="00F70005" w:rsidRDefault="005F3C9E">
      <w:pPr>
        <w:pStyle w:val="2"/>
        <w:spacing w:line="560" w:lineRule="exact"/>
        <w:ind w:firstLine="640"/>
        <w:rPr>
          <w:rFonts w:hAnsi="仿宋_GB2312" w:cs="仿宋_GB2312"/>
        </w:rPr>
      </w:pPr>
      <w:r>
        <w:rPr>
          <w:rFonts w:hint="eastAsia"/>
        </w:rPr>
        <w:t>1</w:t>
      </w:r>
      <w:r>
        <w:rPr>
          <w:rFonts w:hint="eastAsia"/>
        </w:rPr>
        <w:t>、规范监测流程，解决操作不统一问题​</w:t>
      </w:r>
    </w:p>
    <w:p w:rsidR="00F70005" w:rsidRDefault="005F3C9E">
      <w:pPr>
        <w:pStyle w:val="af0"/>
        <w:ind w:firstLine="640"/>
        <w:rPr>
          <w:rFonts w:hAnsi="仿宋_GB2312" w:cs="仿宋_GB2312"/>
        </w:rPr>
      </w:pPr>
      <w:r>
        <w:rPr>
          <w:rFonts w:hint="eastAsia"/>
        </w:rPr>
        <w:t>当前不同地区、不同级别医疗机构的药物滥用监测工作缺乏统一标准，部分机构存在监测范围模糊、上报流程混乱、数据记录不规范等问题。例如，基层医院对</w:t>
      </w:r>
      <w:r>
        <w:rPr>
          <w:rFonts w:hint="eastAsia"/>
        </w:rPr>
        <w:t xml:space="preserve"> </w:t>
      </w:r>
      <w:r>
        <w:rPr>
          <w:rFonts w:hint="eastAsia"/>
        </w:rPr>
        <w:t>“药物滥用”</w:t>
      </w:r>
      <w:r>
        <w:rPr>
          <w:rFonts w:hint="eastAsia"/>
        </w:rPr>
        <w:t xml:space="preserve"> </w:t>
      </w:r>
      <w:r>
        <w:rPr>
          <w:rFonts w:hint="eastAsia"/>
        </w:rPr>
        <w:t>的判定标准不一致，导致部分滥用案例漏报或误报。该团体标准编制的核心目的之一，就是明确监测工作的具体流程</w:t>
      </w:r>
      <w:r>
        <w:rPr>
          <w:rFonts w:hint="eastAsia"/>
        </w:rPr>
        <w:t xml:space="preserve"> </w:t>
      </w:r>
      <w:r>
        <w:rPr>
          <w:rFonts w:hint="eastAsia"/>
        </w:rPr>
        <w:t>—</w:t>
      </w:r>
      <w:r>
        <w:rPr>
          <w:rFonts w:hint="eastAsia"/>
        </w:rPr>
        <w:lastRenderedPageBreak/>
        <w:t>—</w:t>
      </w:r>
      <w:r>
        <w:rPr>
          <w:rFonts w:hint="eastAsia"/>
        </w:rPr>
        <w:t xml:space="preserve"> </w:t>
      </w:r>
      <w:r>
        <w:rPr>
          <w:rFonts w:hint="eastAsia"/>
        </w:rPr>
        <w:t>从滥用案例的识别、信息收集，到数据审核、上报时限，再到监测档案管理，均制定统一操作规范，确保各级医疗机构监测工作</w:t>
      </w:r>
      <w:r>
        <w:rPr>
          <w:rFonts w:hint="eastAsia"/>
        </w:rPr>
        <w:t xml:space="preserve"> </w:t>
      </w:r>
      <w:r>
        <w:rPr>
          <w:rFonts w:hint="eastAsia"/>
        </w:rPr>
        <w:t>“有章可循”，避免因流程差异导致的监测质量参差不齐。</w:t>
      </w:r>
    </w:p>
    <w:p w:rsidR="00F70005" w:rsidRDefault="005F3C9E">
      <w:pPr>
        <w:pStyle w:val="2"/>
        <w:spacing w:line="560" w:lineRule="exact"/>
        <w:ind w:firstLine="640"/>
      </w:pPr>
      <w:r>
        <w:rPr>
          <w:rFonts w:hint="eastAsia"/>
        </w:rPr>
        <w:t>2</w:t>
      </w:r>
      <w:r>
        <w:rPr>
          <w:rFonts w:hint="eastAsia"/>
        </w:rPr>
        <w:t>、提升基层能力，填补监测覆盖盲区</w:t>
      </w:r>
    </w:p>
    <w:p w:rsidR="00F70005" w:rsidRDefault="005F3C9E">
      <w:pPr>
        <w:pStyle w:val="af0"/>
        <w:ind w:firstLine="640"/>
      </w:pPr>
      <w:r>
        <w:rPr>
          <w:rFonts w:hint="eastAsia"/>
        </w:rPr>
        <w:t>调研显示，我国基层医疗机构（如社区卫生服务中心、乡镇卫生院）的药物滥用监测能力薄弱，约</w:t>
      </w:r>
      <w:r>
        <w:rPr>
          <w:rFonts w:hint="eastAsia"/>
        </w:rPr>
        <w:t xml:space="preserve"> 30% </w:t>
      </w:r>
      <w:r>
        <w:rPr>
          <w:rFonts w:hint="eastAsia"/>
        </w:rPr>
        <w:t>的基层医务人员未接受过系统的药物滥用监测培训，导致基层成为监测覆盖的</w:t>
      </w:r>
      <w:r>
        <w:rPr>
          <w:rFonts w:hint="eastAsia"/>
        </w:rPr>
        <w:t xml:space="preserve"> </w:t>
      </w:r>
      <w:r>
        <w:rPr>
          <w:rFonts w:hint="eastAsia"/>
        </w:rPr>
        <w:t>“盲区”。标准编制特别针对这一问题，将</w:t>
      </w:r>
      <w:r>
        <w:rPr>
          <w:rFonts w:hint="eastAsia"/>
        </w:rPr>
        <w:t xml:space="preserve"> </w:t>
      </w:r>
      <w:r>
        <w:rPr>
          <w:rFonts w:hint="eastAsia"/>
        </w:rPr>
        <w:t>“基层医疗机构监测能力建设”</w:t>
      </w:r>
      <w:r>
        <w:rPr>
          <w:rFonts w:hint="eastAsia"/>
        </w:rPr>
        <w:t xml:space="preserve"> </w:t>
      </w:r>
      <w:r>
        <w:rPr>
          <w:rFonts w:hint="eastAsia"/>
        </w:rPr>
        <w:t>作为重要目标，通过明确基层机构的监测职责、简化上报流程、提供标准化培训内容（如常见滥用药物识别要点、疑似案例处理步骤），帮助基层突破能力瓶颈，实现药物滥用监测</w:t>
      </w:r>
      <w:r>
        <w:rPr>
          <w:rFonts w:hint="eastAsia"/>
        </w:rPr>
        <w:t xml:space="preserve"> </w:t>
      </w:r>
      <w:r>
        <w:rPr>
          <w:rFonts w:hint="eastAsia"/>
        </w:rPr>
        <w:t>“从城市到农村、从三级医院到社区医院”</w:t>
      </w:r>
      <w:r>
        <w:rPr>
          <w:rFonts w:hint="eastAsia"/>
        </w:rPr>
        <w:t xml:space="preserve"> </w:t>
      </w:r>
      <w:r>
        <w:rPr>
          <w:rFonts w:hint="eastAsia"/>
        </w:rPr>
        <w:t>的全面覆盖。</w:t>
      </w:r>
    </w:p>
    <w:p w:rsidR="00F70005" w:rsidRDefault="005F3C9E">
      <w:pPr>
        <w:pStyle w:val="2"/>
        <w:spacing w:line="560" w:lineRule="exact"/>
        <w:ind w:firstLine="640"/>
        <w:rPr>
          <w:rFonts w:hAnsi="仿宋_GB2312" w:cs="仿宋_GB2312"/>
        </w:rPr>
      </w:pPr>
      <w:r>
        <w:rPr>
          <w:rFonts w:hint="eastAsia"/>
        </w:rPr>
        <w:t>3</w:t>
      </w:r>
      <w:r>
        <w:rPr>
          <w:rFonts w:hint="eastAsia"/>
        </w:rPr>
        <w:t>、打通数据壁垒，推动多部门协同治理</w:t>
      </w:r>
    </w:p>
    <w:p w:rsidR="00F70005" w:rsidRDefault="005F3C9E">
      <w:pPr>
        <w:pStyle w:val="af0"/>
        <w:ind w:firstLine="640"/>
        <w:rPr>
          <w:rFonts w:hAnsi="仿宋_GB2312" w:cs="仿宋_GB2312"/>
        </w:rPr>
      </w:pPr>
      <w:r>
        <w:rPr>
          <w:rFonts w:hint="eastAsia"/>
        </w:rPr>
        <w:t>药物滥用监测涉及卫生健康、药监、公安等多个部门，但目前各部门数据互通性差：卫生健康部门掌握医疗机构的滥用案例数据，药监部门掌握药品流通数据，公安部门掌握涉毒案件数据，三者缺乏有效联动，导致无法形成</w:t>
      </w:r>
      <w:r>
        <w:rPr>
          <w:rFonts w:hint="eastAsia"/>
        </w:rPr>
        <w:t xml:space="preserve"> </w:t>
      </w:r>
      <w:r>
        <w:rPr>
          <w:rFonts w:hint="eastAsia"/>
        </w:rPr>
        <w:t>“滥用风险预警</w:t>
      </w:r>
      <w:r>
        <w:rPr>
          <w:rFonts w:hint="eastAsia"/>
        </w:rPr>
        <w:t xml:space="preserve"> </w:t>
      </w:r>
      <w:r>
        <w:rPr>
          <w:rFonts w:hint="eastAsia"/>
        </w:rPr>
        <w:t>—</w:t>
      </w:r>
      <w:r>
        <w:rPr>
          <w:rFonts w:hint="eastAsia"/>
        </w:rPr>
        <w:t xml:space="preserve"> </w:t>
      </w:r>
      <w:r>
        <w:rPr>
          <w:rFonts w:hint="eastAsia"/>
        </w:rPr>
        <w:t>药品管控</w:t>
      </w:r>
      <w:r>
        <w:rPr>
          <w:rFonts w:hint="eastAsia"/>
        </w:rPr>
        <w:t xml:space="preserve"> </w:t>
      </w:r>
      <w:r>
        <w:rPr>
          <w:rFonts w:hint="eastAsia"/>
        </w:rPr>
        <w:t>—</w:t>
      </w:r>
      <w:r>
        <w:rPr>
          <w:rFonts w:hint="eastAsia"/>
        </w:rPr>
        <w:t xml:space="preserve"> </w:t>
      </w:r>
      <w:r>
        <w:rPr>
          <w:rFonts w:hint="eastAsia"/>
        </w:rPr>
        <w:t>案件查处”</w:t>
      </w:r>
      <w:r>
        <w:rPr>
          <w:rFonts w:hint="eastAsia"/>
        </w:rPr>
        <w:t xml:space="preserve"> </w:t>
      </w:r>
      <w:r>
        <w:rPr>
          <w:rFonts w:hint="eastAsia"/>
        </w:rPr>
        <w:t>的闭环治理。标准编制旨在建立多部门协同机制，明确各部门的数据共享范围、共享频率及协同响应流程（如发现某类药品滥用率骤升时，药</w:t>
      </w:r>
      <w:r>
        <w:rPr>
          <w:rFonts w:hint="eastAsia"/>
        </w:rPr>
        <w:lastRenderedPageBreak/>
        <w:t>监部门需及时核查药品流通渠道，公安部门需加强相关案件排查），打破数据壁垒，实现</w:t>
      </w:r>
      <w:r>
        <w:rPr>
          <w:rFonts w:hint="eastAsia"/>
        </w:rPr>
        <w:t xml:space="preserve"> </w:t>
      </w:r>
      <w:r>
        <w:rPr>
          <w:rFonts w:hint="eastAsia"/>
        </w:rPr>
        <w:t>“监测数据</w:t>
      </w:r>
      <w:r>
        <w:rPr>
          <w:rFonts w:hint="eastAsia"/>
        </w:rPr>
        <w:t xml:space="preserve"> </w:t>
      </w:r>
      <w:r>
        <w:rPr>
          <w:rFonts w:hint="eastAsia"/>
        </w:rPr>
        <w:t>—</w:t>
      </w:r>
      <w:r>
        <w:rPr>
          <w:rFonts w:hint="eastAsia"/>
        </w:rPr>
        <w:t xml:space="preserve"> </w:t>
      </w:r>
      <w:r>
        <w:rPr>
          <w:rFonts w:hint="eastAsia"/>
        </w:rPr>
        <w:t>管控措施</w:t>
      </w:r>
      <w:r>
        <w:rPr>
          <w:rFonts w:hint="eastAsia"/>
        </w:rPr>
        <w:t xml:space="preserve"> </w:t>
      </w:r>
      <w:r>
        <w:rPr>
          <w:rFonts w:hint="eastAsia"/>
        </w:rPr>
        <w:t>—</w:t>
      </w:r>
      <w:r>
        <w:rPr>
          <w:rFonts w:hint="eastAsia"/>
        </w:rPr>
        <w:t xml:space="preserve"> </w:t>
      </w:r>
      <w:r>
        <w:rPr>
          <w:rFonts w:hint="eastAsia"/>
        </w:rPr>
        <w:t>治理行动”</w:t>
      </w:r>
      <w:r>
        <w:rPr>
          <w:rFonts w:hint="eastAsia"/>
        </w:rPr>
        <w:t xml:space="preserve"> </w:t>
      </w:r>
      <w:r>
        <w:rPr>
          <w:rFonts w:hint="eastAsia"/>
        </w:rPr>
        <w:t>的有效衔接。</w:t>
      </w:r>
    </w:p>
    <w:p w:rsidR="00F70005" w:rsidRDefault="005F3C9E">
      <w:pPr>
        <w:pStyle w:val="1"/>
        <w:ind w:firstLine="640"/>
      </w:pPr>
      <w:r>
        <w:rPr>
          <w:rFonts w:hint="eastAsia"/>
        </w:rPr>
        <w:t>三、编制过程</w:t>
      </w:r>
    </w:p>
    <w:p w:rsidR="00F70005" w:rsidRDefault="005F3C9E">
      <w:pPr>
        <w:pStyle w:val="2"/>
        <w:spacing w:line="560" w:lineRule="exact"/>
        <w:ind w:firstLine="640"/>
      </w:pPr>
      <w:r>
        <w:rPr>
          <w:rFonts w:hint="eastAsia"/>
        </w:rPr>
        <w:t>1</w:t>
      </w:r>
      <w:r>
        <w:rPr>
          <w:rFonts w:hint="eastAsia"/>
        </w:rPr>
        <w:t>、前期研究，分析项目可行性</w:t>
      </w:r>
    </w:p>
    <w:p w:rsidR="00F70005" w:rsidRDefault="005F3C9E">
      <w:pPr>
        <w:pStyle w:val="af0"/>
        <w:ind w:firstLine="640"/>
      </w:pPr>
      <w:r>
        <w:rPr>
          <w:rFonts w:hint="eastAsia"/>
        </w:rPr>
        <w:t>自</w:t>
      </w:r>
      <w:r>
        <w:rPr>
          <w:rFonts w:hint="eastAsia"/>
        </w:rPr>
        <w:t>2001</w:t>
      </w:r>
      <w:r>
        <w:rPr>
          <w:rFonts w:hint="eastAsia"/>
        </w:rPr>
        <w:t>年起，由国家药品监督管理局负责全国药物滥用监测工作，其要求在各省（自治区、直辖市）公安机关、药品监督及卫生行政部门中建立监测体系开展监测工作，采集数据，及时通报情况。就目前我国的药物滥用监测体系来说，监测数据主要是靠定点报送，工作是被动的，收集的数据是不全面的，这种事后反馈的监测方法在药物滥用的预警方面稍显不足。此外，因医疗目的使用麻醉、精神药品而产生的药物依赖性是目前监测的空白，医用药品尤其是处方药和非处方药在一般人群中滥用的相关品种及规模情况通过现有监测网络难以获得，故现有的监测数据无法反映一般人群药物滥用情况。</w:t>
      </w:r>
    </w:p>
    <w:p w:rsidR="00F70005" w:rsidRDefault="005F3C9E">
      <w:pPr>
        <w:pStyle w:val="af0"/>
        <w:ind w:firstLine="640"/>
      </w:pPr>
      <w:r>
        <w:rPr>
          <w:rFonts w:hint="eastAsia"/>
        </w:rPr>
        <w:t>目前在我国医疗机构尚无成熟的药物滥用监测体系，因此，探讨我国医疗机构药物滥用监测方法，提供满足我国麻醉、精神药品监管所需要的技术体系，能更全面、准确地反映药物滥用的趋势和风险，便于药品监管政策的及时调整。医疗机构开展药物滥用监测工作是未来的发展趋势和方向。</w:t>
      </w:r>
    </w:p>
    <w:p w:rsidR="00F70005" w:rsidRDefault="005F3C9E">
      <w:pPr>
        <w:pStyle w:val="af0"/>
        <w:ind w:firstLine="640"/>
      </w:pPr>
      <w:r>
        <w:rPr>
          <w:rFonts w:hint="eastAsia"/>
        </w:rPr>
        <w:lastRenderedPageBreak/>
        <w:t>经过对前期工作的经验总结以及对我区医疗机构开展药物滥用监测工作情况的全面了解，确定了开展《</w:t>
      </w:r>
      <w:r w:rsidR="00177C5F" w:rsidRPr="00177C5F">
        <w:rPr>
          <w:rFonts w:hint="eastAsia"/>
        </w:rPr>
        <w:t>中药不良反应风险信号提取工作指南</w:t>
      </w:r>
      <w:r>
        <w:rPr>
          <w:rFonts w:hint="eastAsia"/>
        </w:rPr>
        <w:t>》团体标准研究的可行性。</w:t>
      </w:r>
    </w:p>
    <w:p w:rsidR="00F70005" w:rsidRDefault="005F3C9E">
      <w:pPr>
        <w:pStyle w:val="2"/>
        <w:spacing w:line="560" w:lineRule="exact"/>
        <w:ind w:firstLine="640"/>
      </w:pPr>
      <w:r>
        <w:rPr>
          <w:rFonts w:hint="eastAsia"/>
        </w:rPr>
        <w:t>2</w:t>
      </w:r>
      <w:r>
        <w:rPr>
          <w:rFonts w:hint="eastAsia"/>
        </w:rPr>
        <w:t>、标准立项</w:t>
      </w:r>
    </w:p>
    <w:p w:rsidR="00F70005" w:rsidRDefault="005F3C9E">
      <w:pPr>
        <w:pStyle w:val="af0"/>
        <w:ind w:firstLine="640"/>
      </w:pPr>
      <w:r>
        <w:rPr>
          <w:rFonts w:hint="eastAsia"/>
        </w:rPr>
        <w:t>为规范医疗机构药物滥用监测工作，完善监测体系和方法，加强与其他相关部门的合作与交流，防控药物滥用、维护公众健康，经研究，将《</w:t>
      </w:r>
      <w:r w:rsidR="00177C5F" w:rsidRPr="00177C5F">
        <w:rPr>
          <w:rFonts w:hint="eastAsia"/>
        </w:rPr>
        <w:t>中药不良反应风险信号提取工作指南</w:t>
      </w:r>
      <w:r>
        <w:rPr>
          <w:rFonts w:hint="eastAsia"/>
        </w:rPr>
        <w:t>》列入该批团体标准研制项目计划。</w:t>
      </w:r>
    </w:p>
    <w:p w:rsidR="00F70005" w:rsidRDefault="005F3C9E">
      <w:pPr>
        <w:pStyle w:val="2"/>
        <w:spacing w:line="560" w:lineRule="exact"/>
        <w:ind w:firstLine="640"/>
      </w:pPr>
      <w:r>
        <w:rPr>
          <w:rFonts w:hint="eastAsia"/>
        </w:rPr>
        <w:t>3</w:t>
      </w:r>
      <w:r>
        <w:rPr>
          <w:rFonts w:hint="eastAsia"/>
        </w:rPr>
        <w:t>、成立标准起草组，开展工作</w:t>
      </w:r>
    </w:p>
    <w:p w:rsidR="00F70005" w:rsidRDefault="005F3C9E">
      <w:pPr>
        <w:pStyle w:val="af0"/>
        <w:ind w:firstLine="640"/>
        <w:rPr>
          <w:rFonts w:hAnsi="仿宋_GB2312" w:cs="仿宋_GB2312"/>
        </w:rPr>
      </w:pPr>
      <w:r>
        <w:rPr>
          <w:rFonts w:hint="eastAsia"/>
        </w:rPr>
        <w:t>标准起草组</w:t>
      </w:r>
      <w:r>
        <w:rPr>
          <w:rFonts w:hAnsi="仿宋_GB2312" w:cs="仿宋_GB2312" w:hint="eastAsia"/>
        </w:rPr>
        <w:t>成立专门的工作小组，负责制定药物滥用监测工作规范，包括药学等多个学科的专家。收集国内外相关资料，了解药物滥用监测的最新进展和技术。根据收集的资料和专家意见，制定药物滥用监测工作规范的初稿。</w:t>
      </w:r>
    </w:p>
    <w:p w:rsidR="00F70005" w:rsidRDefault="005F3C9E">
      <w:pPr>
        <w:pStyle w:val="2"/>
        <w:spacing w:line="560" w:lineRule="exact"/>
        <w:ind w:firstLine="640"/>
      </w:pPr>
      <w:r>
        <w:rPr>
          <w:rFonts w:hint="eastAsia"/>
        </w:rPr>
        <w:t>4</w:t>
      </w:r>
      <w:r>
        <w:rPr>
          <w:rFonts w:hint="eastAsia"/>
        </w:rPr>
        <w:t>、广泛征求意见，修改完善标准</w:t>
      </w:r>
    </w:p>
    <w:p w:rsidR="00F70005" w:rsidRDefault="005F3C9E">
      <w:pPr>
        <w:pStyle w:val="af0"/>
        <w:ind w:firstLine="640"/>
      </w:pPr>
      <w:r>
        <w:rPr>
          <w:rFonts w:hint="eastAsia"/>
        </w:rPr>
        <w:t>自治区质量和标准化研究院对</w:t>
      </w:r>
      <w:r>
        <w:rPr>
          <w:rFonts w:ascii="Times New Roman" w:hint="eastAsia"/>
        </w:rPr>
        <w:t>《</w:t>
      </w:r>
      <w:r w:rsidR="00177C5F" w:rsidRPr="00177C5F">
        <w:rPr>
          <w:rFonts w:ascii="Times New Roman" w:hint="eastAsia"/>
        </w:rPr>
        <w:t>中药不良反应风险信号提取工作指南</w:t>
      </w:r>
      <w:r>
        <w:rPr>
          <w:rFonts w:ascii="Times New Roman" w:hint="eastAsia"/>
        </w:rPr>
        <w:t>》</w:t>
      </w:r>
      <w:r>
        <w:rPr>
          <w:rFonts w:hint="eastAsia"/>
        </w:rPr>
        <w:t>（征求意见稿）向相关机构和专家征求意见。</w:t>
      </w:r>
    </w:p>
    <w:p w:rsidR="00F70005" w:rsidRDefault="005F3C9E">
      <w:pPr>
        <w:pStyle w:val="1"/>
        <w:ind w:firstLine="640"/>
      </w:pPr>
      <w:r>
        <w:rPr>
          <w:rFonts w:hint="eastAsia"/>
        </w:rPr>
        <w:t>四、标准编制原则和依据</w:t>
      </w:r>
    </w:p>
    <w:p w:rsidR="00F70005" w:rsidRDefault="005F3C9E">
      <w:pPr>
        <w:pStyle w:val="2"/>
        <w:spacing w:line="560" w:lineRule="exact"/>
        <w:ind w:firstLine="640"/>
      </w:pPr>
      <w:r>
        <w:rPr>
          <w:rFonts w:hint="eastAsia"/>
        </w:rPr>
        <w:t>（一）编制原则</w:t>
      </w:r>
    </w:p>
    <w:p w:rsidR="00F70005" w:rsidRDefault="005F3C9E">
      <w:pPr>
        <w:pStyle w:val="af0"/>
        <w:ind w:firstLine="640"/>
      </w:pPr>
      <w:r>
        <w:rPr>
          <w:rFonts w:hint="eastAsia"/>
        </w:rPr>
        <w:t>该团体标准的编写内容与格式严格按照</w:t>
      </w:r>
      <w:r>
        <w:rPr>
          <w:rFonts w:hint="eastAsia"/>
        </w:rPr>
        <w:t>GB/T 1.1-20</w:t>
      </w:r>
      <w:r>
        <w:t>20</w:t>
      </w:r>
      <w:r>
        <w:rPr>
          <w:rFonts w:ascii="仿宋_GB2312" w:hint="eastAsia"/>
          <w:kern w:val="2"/>
          <w:szCs w:val="32"/>
        </w:rPr>
        <w:t>《标准化工作导则  第1部分：标准化文件的结构和起草规</w:t>
      </w:r>
      <w:r>
        <w:rPr>
          <w:rFonts w:ascii="仿宋_GB2312" w:hint="eastAsia"/>
          <w:kern w:val="2"/>
          <w:szCs w:val="32"/>
        </w:rPr>
        <w:lastRenderedPageBreak/>
        <w:t>则》</w:t>
      </w:r>
      <w:r>
        <w:rPr>
          <w:rFonts w:hint="eastAsia"/>
        </w:rPr>
        <w:t>的要求进行，主要遵循了科学性、先进性、实用性、协调性原则。</w:t>
      </w:r>
    </w:p>
    <w:p w:rsidR="00F70005" w:rsidRDefault="005F3C9E">
      <w:pPr>
        <w:pStyle w:val="2"/>
        <w:spacing w:line="560" w:lineRule="exact"/>
        <w:ind w:firstLine="640"/>
      </w:pPr>
      <w:r>
        <w:rPr>
          <w:rFonts w:hint="eastAsia"/>
        </w:rPr>
        <w:t>1</w:t>
      </w:r>
      <w:r>
        <w:rPr>
          <w:rFonts w:hint="eastAsia"/>
        </w:rPr>
        <w:t>、</w:t>
      </w:r>
      <w:r>
        <w:t>科学性原则</w:t>
      </w:r>
    </w:p>
    <w:p w:rsidR="00F70005" w:rsidRDefault="005F3C9E">
      <w:pPr>
        <w:pStyle w:val="af0"/>
        <w:ind w:firstLine="640"/>
      </w:pPr>
      <w:r>
        <w:rPr>
          <w:rFonts w:hint="eastAsia"/>
        </w:rPr>
        <w:t>标准编制严格遵循国家药品不良反应监测中心《医疗机构药物滥用监测工作手册</w:t>
      </w:r>
      <w:r>
        <w:rPr>
          <w:rFonts w:hint="eastAsia"/>
        </w:rPr>
        <w:t xml:space="preserve"> (</w:t>
      </w:r>
      <w:r>
        <w:rPr>
          <w:rFonts w:hint="eastAsia"/>
        </w:rPr>
        <w:t>试行</w:t>
      </w:r>
      <w:r>
        <w:rPr>
          <w:rFonts w:hint="eastAsia"/>
        </w:rPr>
        <w:t>)</w:t>
      </w:r>
      <w:r>
        <w:rPr>
          <w:rFonts w:hint="eastAsia"/>
        </w:rPr>
        <w:t>》，该手册经多年实践验证，涵盖监测流程、数据规范等核心技术要点，是国内药物滥用监测领域的权威参考。同时，整合《麻醉药品品种目录》《精神药品品种目录》等法定目录，明确监测药物范围，确保监测对象与国家药品管控体系保持一致，避免因范围界定模糊导致的监测偏差。</w:t>
      </w:r>
    </w:p>
    <w:p w:rsidR="00F70005" w:rsidRDefault="005F3C9E">
      <w:pPr>
        <w:pStyle w:val="2"/>
        <w:spacing w:line="560" w:lineRule="exact"/>
        <w:ind w:firstLine="640"/>
      </w:pPr>
      <w:r>
        <w:t>2</w:t>
      </w:r>
      <w:r>
        <w:rPr>
          <w:rFonts w:hint="eastAsia"/>
        </w:rPr>
        <w:t>、</w:t>
      </w:r>
      <w:r>
        <w:t>先进性原则</w:t>
      </w:r>
    </w:p>
    <w:p w:rsidR="00F70005" w:rsidRDefault="005F3C9E">
      <w:pPr>
        <w:pStyle w:val="af0"/>
        <w:ind w:firstLine="640"/>
      </w:pPr>
      <w:r>
        <w:rPr>
          <w:rFonts w:hint="eastAsia"/>
        </w:rPr>
        <w:t>借鉴国内外药物滥用监测的先进经验与技术理念，建立风险分级监测模式与跨部门协同机制，设置</w:t>
      </w:r>
      <w:r>
        <w:rPr>
          <w:rFonts w:hint="eastAsia"/>
        </w:rPr>
        <w:t xml:space="preserve"> 15 </w:t>
      </w:r>
      <w:r>
        <w:rPr>
          <w:rFonts w:hint="eastAsia"/>
        </w:rPr>
        <w:t>项跨部门预警指标，实现</w:t>
      </w:r>
      <w:r>
        <w:rPr>
          <w:rFonts w:hint="eastAsia"/>
        </w:rPr>
        <w:t xml:space="preserve"> </w:t>
      </w:r>
      <w:r>
        <w:rPr>
          <w:rFonts w:hint="eastAsia"/>
        </w:rPr>
        <w:t>“精准监测、快速响应”；统一数据共享接口与检测技术标准，推动监测工作向信息化、智能化、精准化方向发展，达到国内领先水平。</w:t>
      </w:r>
      <w:r>
        <w:rPr>
          <w:rFonts w:ascii="MS Mincho" w:eastAsia="MS Mincho" w:hAnsi="MS Mincho" w:cs="MS Mincho" w:hint="eastAsia"/>
        </w:rPr>
        <w:t>​</w:t>
      </w:r>
    </w:p>
    <w:p w:rsidR="00F70005" w:rsidRDefault="005F3C9E">
      <w:pPr>
        <w:pStyle w:val="2"/>
        <w:spacing w:line="560" w:lineRule="exact"/>
        <w:ind w:firstLine="640"/>
      </w:pPr>
      <w:r>
        <w:t>3</w:t>
      </w:r>
      <w:r>
        <w:rPr>
          <w:rFonts w:hint="eastAsia"/>
        </w:rPr>
        <w:t>、</w:t>
      </w:r>
      <w:r>
        <w:t>实用性原则</w:t>
      </w:r>
    </w:p>
    <w:p w:rsidR="00F70005" w:rsidRDefault="005F3C9E">
      <w:pPr>
        <w:pStyle w:val="af0"/>
        <w:ind w:firstLine="640"/>
      </w:pPr>
      <w:r>
        <w:rPr>
          <w:rFonts w:hint="eastAsia"/>
        </w:rPr>
        <w:t>兼顾不同级别医疗机构的实际条件，针对基层机构能力薄弱问题，简化操作流程、减少非必要指标，开发微信端上报小程序等便捷工具；明确</w:t>
      </w:r>
      <w:r>
        <w:rPr>
          <w:rFonts w:hint="eastAsia"/>
        </w:rPr>
        <w:t xml:space="preserve"> </w:t>
      </w:r>
      <w:r>
        <w:rPr>
          <w:rFonts w:hint="eastAsia"/>
        </w:rPr>
        <w:t>“基础版</w:t>
      </w:r>
      <w:r>
        <w:rPr>
          <w:rFonts w:hint="eastAsia"/>
        </w:rPr>
        <w:t xml:space="preserve"> + </w:t>
      </w:r>
      <w:r>
        <w:rPr>
          <w:rFonts w:hint="eastAsia"/>
        </w:rPr>
        <w:t>进阶版”</w:t>
      </w:r>
      <w:r>
        <w:rPr>
          <w:rFonts w:hint="eastAsia"/>
        </w:rPr>
        <w:t xml:space="preserve"> </w:t>
      </w:r>
      <w:r>
        <w:rPr>
          <w:rFonts w:hint="eastAsia"/>
        </w:rPr>
        <w:t>双轨要</w:t>
      </w:r>
      <w:r>
        <w:rPr>
          <w:rFonts w:hint="eastAsia"/>
        </w:rPr>
        <w:lastRenderedPageBreak/>
        <w:t>求，三级医院执行全流程精细化监测，基层机构聚焦核心指标上报，确保标准易理解、易操作、易落地。</w:t>
      </w:r>
      <w:r>
        <w:rPr>
          <w:rFonts w:ascii="MS Mincho" w:eastAsia="MS Mincho" w:hAnsi="MS Mincho" w:cs="MS Mincho" w:hint="eastAsia"/>
        </w:rPr>
        <w:t>​</w:t>
      </w:r>
    </w:p>
    <w:p w:rsidR="00F70005" w:rsidRDefault="005F3C9E">
      <w:pPr>
        <w:pStyle w:val="2"/>
        <w:spacing w:line="560" w:lineRule="exact"/>
        <w:ind w:firstLine="640"/>
      </w:pPr>
      <w:r>
        <w:t>4</w:t>
      </w:r>
      <w:r>
        <w:rPr>
          <w:rFonts w:hint="eastAsia"/>
        </w:rPr>
        <w:t>、</w:t>
      </w:r>
      <w:r>
        <w:t>协调性原则</w:t>
      </w:r>
    </w:p>
    <w:p w:rsidR="00F70005" w:rsidRDefault="005F3C9E">
      <w:pPr>
        <w:pStyle w:val="af0"/>
        <w:ind w:firstLine="640"/>
      </w:pPr>
      <w:r>
        <w:rPr>
          <w:rFonts w:hint="eastAsia"/>
        </w:rPr>
        <w:t>注重与现有标准体系的衔接统一，严格遵循</w:t>
      </w:r>
      <w:r>
        <w:rPr>
          <w:rFonts w:hint="eastAsia"/>
        </w:rPr>
        <w:t xml:space="preserve"> </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《全国公立医疗卫生机构药品使用监测管理标准》等国家标准的通用要求，补充药物滥用专项监测内容，避免标准冲突；与《麻醉药品和精神药品管理条例》等法律法规保持一致，确保标准的合法性与适用性。</w:t>
      </w:r>
    </w:p>
    <w:p w:rsidR="00F70005" w:rsidRDefault="005F3C9E">
      <w:pPr>
        <w:pStyle w:val="2"/>
        <w:spacing w:line="560" w:lineRule="exact"/>
        <w:ind w:firstLine="640"/>
      </w:pPr>
      <w:r>
        <w:rPr>
          <w:rFonts w:hint="eastAsia"/>
        </w:rPr>
        <w:t>（二）</w:t>
      </w:r>
      <w:r>
        <w:rPr>
          <w:rFonts w:ascii="仿宋_GB2312" w:eastAsia="仿宋_GB2312" w:cs="Times New Roman"/>
        </w:rPr>
        <w:t>制定依据</w:t>
      </w:r>
      <w:r>
        <w:rPr>
          <w:rFonts w:ascii="MS Mincho" w:eastAsia="MS Mincho" w:hAnsi="MS Mincho" w:cs="MS Mincho" w:hint="eastAsia"/>
        </w:rPr>
        <w:t>​</w:t>
      </w:r>
    </w:p>
    <w:p w:rsidR="00F70005" w:rsidRDefault="005F3C9E">
      <w:pPr>
        <w:pStyle w:val="2"/>
        <w:spacing w:line="560" w:lineRule="exact"/>
        <w:ind w:firstLine="640"/>
      </w:pPr>
      <w:r>
        <w:t>1</w:t>
      </w:r>
      <w:r>
        <w:rPr>
          <w:rFonts w:hint="eastAsia"/>
        </w:rPr>
        <w:t>、</w:t>
      </w:r>
      <w:r>
        <w:t>法律法规依据</w:t>
      </w:r>
    </w:p>
    <w:p w:rsidR="00F70005" w:rsidRDefault="005F3C9E">
      <w:pPr>
        <w:pStyle w:val="af0"/>
        <w:ind w:firstLine="640"/>
      </w:pPr>
      <w:r>
        <w:rPr>
          <w:rFonts w:hint="eastAsia"/>
        </w:rPr>
        <w:t>以《中华人民共和国药品管理法》《中华人民共和国禁毒法》《麻醉药品和精神药品管理条例》《药品不良反应报告和监测管理办法》等</w:t>
      </w:r>
      <w:r>
        <w:rPr>
          <w:rFonts w:hint="eastAsia"/>
        </w:rPr>
        <w:t xml:space="preserve"> 12 </w:t>
      </w:r>
      <w:r>
        <w:rPr>
          <w:rFonts w:hint="eastAsia"/>
        </w:rPr>
        <w:t>部法律法规为根本遵循，明确监测工作的法律边界与责任要求，确保标准内容合法合规。</w:t>
      </w:r>
    </w:p>
    <w:p w:rsidR="00F70005" w:rsidRDefault="005F3C9E">
      <w:pPr>
        <w:pStyle w:val="2"/>
        <w:spacing w:line="560" w:lineRule="exact"/>
        <w:ind w:firstLine="640"/>
      </w:pPr>
      <w:r>
        <w:t>2</w:t>
      </w:r>
      <w:r>
        <w:rPr>
          <w:rFonts w:hint="eastAsia"/>
        </w:rPr>
        <w:t>、</w:t>
      </w:r>
      <w:r>
        <w:t>标准文献依据</w:t>
      </w:r>
    </w:p>
    <w:p w:rsidR="00F70005" w:rsidRDefault="005F3C9E">
      <w:pPr>
        <w:pStyle w:val="af0"/>
        <w:ind w:firstLine="640"/>
      </w:pPr>
      <w:r>
        <w:rPr>
          <w:rFonts w:hint="eastAsia"/>
        </w:rPr>
        <w:t>参考国家药品不良反应监测中心《医疗机构药物滥用监测工作手册</w:t>
      </w:r>
      <w:r>
        <w:rPr>
          <w:rFonts w:hint="eastAsia"/>
        </w:rPr>
        <w:t xml:space="preserve"> (</w:t>
      </w:r>
      <w:r>
        <w:rPr>
          <w:rFonts w:hint="eastAsia"/>
        </w:rPr>
        <w:t>试行</w:t>
      </w:r>
      <w:r>
        <w:rPr>
          <w:rFonts w:hint="eastAsia"/>
        </w:rPr>
        <w:t>)</w:t>
      </w:r>
      <w:r>
        <w:rPr>
          <w:rFonts w:hint="eastAsia"/>
        </w:rPr>
        <w:t>》、</w:t>
      </w:r>
      <w:r>
        <w:rPr>
          <w:rFonts w:hint="eastAsia"/>
        </w:rPr>
        <w:t>GB 3095</w:t>
      </w:r>
      <w:r>
        <w:rPr>
          <w:rFonts w:hint="eastAsia"/>
        </w:rPr>
        <w:t>《环境空气质量标准》、</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《全国公立医疗卫生机构药品使用监测管理标准》等国家、行业标准，以及美国</w:t>
      </w:r>
      <w:r>
        <w:rPr>
          <w:rFonts w:hint="eastAsia"/>
        </w:rPr>
        <w:t xml:space="preserve"> SAMHSA </w:t>
      </w:r>
      <w:r>
        <w:rPr>
          <w:rFonts w:hint="eastAsia"/>
        </w:rPr>
        <w:t>药物检出限标准等国际先进技术文件，确保标准技术参数科学合理。</w:t>
      </w:r>
    </w:p>
    <w:p w:rsidR="00F70005" w:rsidRDefault="005F3C9E">
      <w:pPr>
        <w:pStyle w:val="2"/>
        <w:spacing w:line="560" w:lineRule="exact"/>
        <w:ind w:firstLine="640"/>
      </w:pPr>
      <w:r>
        <w:lastRenderedPageBreak/>
        <w:t>3</w:t>
      </w:r>
      <w:r>
        <w:rPr>
          <w:rFonts w:hint="eastAsia"/>
        </w:rPr>
        <w:t>、</w:t>
      </w:r>
      <w:r>
        <w:t>产业实际依据</w:t>
      </w:r>
    </w:p>
    <w:p w:rsidR="00F70005" w:rsidRDefault="005F3C9E">
      <w:pPr>
        <w:pStyle w:val="af0"/>
        <w:ind w:firstLine="640"/>
      </w:pPr>
      <w:r>
        <w:rPr>
          <w:rFonts w:hint="eastAsia"/>
        </w:rPr>
        <w:t>结合基层医疗机构监测能力现状、多部门协同需求、市场药物滥用流行趋势等实际情况，针对性设计条款内容，解决监测工作中的现实痛点，确保标准符合行业发展需求。</w:t>
      </w:r>
    </w:p>
    <w:p w:rsidR="00F70005" w:rsidRDefault="005F3C9E">
      <w:pPr>
        <w:pStyle w:val="2"/>
        <w:spacing w:line="560" w:lineRule="exact"/>
        <w:ind w:firstLine="640"/>
      </w:pPr>
      <w:r>
        <w:rPr>
          <w:rFonts w:hint="eastAsia"/>
        </w:rPr>
        <w:t>（三）</w:t>
      </w:r>
      <w:r>
        <w:t>与现行法律、法规、标准的关系</w:t>
      </w:r>
      <w:r>
        <w:rPr>
          <w:rFonts w:ascii="MS Mincho" w:eastAsia="MS Mincho" w:hAnsi="MS Mincho" w:cs="MS Mincho" w:hint="eastAsia"/>
        </w:rPr>
        <w:t>​</w:t>
      </w:r>
    </w:p>
    <w:p w:rsidR="00F70005" w:rsidRDefault="005F3C9E">
      <w:pPr>
        <w:pStyle w:val="2"/>
        <w:spacing w:line="560" w:lineRule="exact"/>
        <w:ind w:firstLine="640"/>
      </w:pPr>
      <w:r>
        <w:t>1</w:t>
      </w:r>
      <w:r>
        <w:rPr>
          <w:rFonts w:hint="eastAsia"/>
        </w:rPr>
        <w:t>、</w:t>
      </w:r>
      <w:r>
        <w:t>与法律法规的关系</w:t>
      </w:r>
    </w:p>
    <w:p w:rsidR="00F70005" w:rsidRDefault="005F3C9E">
      <w:pPr>
        <w:pStyle w:val="af0"/>
        <w:ind w:firstLine="640"/>
      </w:pPr>
      <w:r>
        <w:rPr>
          <w:rFonts w:hint="eastAsia"/>
        </w:rPr>
        <w:t>本标准是法律法规在医疗机构药物滥用监测领域的具体细化与实施指南，所有条款均严格遵循相关法律法规要求，无冲突或不一致内容。当法律法规修订时，标准将同步更新调整，确保始终与法律要求保持一致。</w:t>
      </w:r>
    </w:p>
    <w:p w:rsidR="00F70005" w:rsidRDefault="005F3C9E">
      <w:pPr>
        <w:pStyle w:val="2"/>
        <w:spacing w:line="560" w:lineRule="exact"/>
        <w:ind w:firstLine="640"/>
      </w:pPr>
      <w:r>
        <w:t>2</w:t>
      </w:r>
      <w:r>
        <w:rPr>
          <w:rFonts w:hint="eastAsia"/>
        </w:rPr>
        <w:t>、</w:t>
      </w:r>
      <w:r>
        <w:t>与国家标准的关系</w:t>
      </w:r>
    </w:p>
    <w:p w:rsidR="00F70005" w:rsidRDefault="005F3C9E">
      <w:pPr>
        <w:pStyle w:val="af0"/>
        <w:ind w:firstLine="640"/>
      </w:pPr>
      <w:r>
        <w:rPr>
          <w:rFonts w:hint="eastAsia"/>
        </w:rPr>
        <w:t>本标准以</w:t>
      </w:r>
      <w:r>
        <w:rPr>
          <w:rFonts w:hint="eastAsia"/>
        </w:rPr>
        <w:t xml:space="preserve"> </w:t>
      </w:r>
      <w:proofErr w:type="spellStart"/>
      <w:r>
        <w:rPr>
          <w:rFonts w:hint="eastAsia"/>
        </w:rPr>
        <w:t>WS</w:t>
      </w:r>
      <w:proofErr w:type="spellEnd"/>
      <w:r>
        <w:rPr>
          <w:rFonts w:hint="eastAsia"/>
        </w:rPr>
        <w:t>/T 841</w:t>
      </w:r>
      <w:r>
        <w:rPr>
          <w:rFonts w:hint="eastAsia"/>
        </w:rPr>
        <w:t>—</w:t>
      </w:r>
      <w:r>
        <w:rPr>
          <w:rFonts w:hint="eastAsia"/>
        </w:rPr>
        <w:t>2024</w:t>
      </w:r>
      <w:r>
        <w:rPr>
          <w:rFonts w:hint="eastAsia"/>
        </w:rPr>
        <w:t>《全国公立医疗卫生机构药品使用监测管理标准》等国家标准为基础，聚焦</w:t>
      </w:r>
      <w:r>
        <w:rPr>
          <w:rFonts w:hint="eastAsia"/>
        </w:rPr>
        <w:t xml:space="preserve"> </w:t>
      </w:r>
      <w:r>
        <w:rPr>
          <w:rFonts w:hint="eastAsia"/>
        </w:rPr>
        <w:t>“药物滥用”</w:t>
      </w:r>
      <w:r>
        <w:rPr>
          <w:rFonts w:hint="eastAsia"/>
        </w:rPr>
        <w:t xml:space="preserve"> </w:t>
      </w:r>
      <w:r>
        <w:rPr>
          <w:rFonts w:hint="eastAsia"/>
        </w:rPr>
        <w:t>专项领域，补充完善专项监测流程、技术要求与协同机制，形成</w:t>
      </w:r>
      <w:r>
        <w:rPr>
          <w:rFonts w:hint="eastAsia"/>
        </w:rPr>
        <w:t xml:space="preserve"> </w:t>
      </w:r>
      <w:r>
        <w:rPr>
          <w:rFonts w:hint="eastAsia"/>
        </w:rPr>
        <w:t>“通用</w:t>
      </w:r>
      <w:r>
        <w:rPr>
          <w:rFonts w:hint="eastAsia"/>
        </w:rPr>
        <w:t xml:space="preserve"> + </w:t>
      </w:r>
      <w:r>
        <w:rPr>
          <w:rFonts w:hint="eastAsia"/>
        </w:rPr>
        <w:t>专项”</w:t>
      </w:r>
      <w:r>
        <w:rPr>
          <w:rFonts w:hint="eastAsia"/>
        </w:rPr>
        <w:t xml:space="preserve"> </w:t>
      </w:r>
      <w:r>
        <w:rPr>
          <w:rFonts w:hint="eastAsia"/>
        </w:rPr>
        <w:t>的互补体系，既不低于国家标准强制性要求，又体现专项监测的特色与针对性。</w:t>
      </w:r>
      <w:r>
        <w:rPr>
          <w:rFonts w:ascii="MS Mincho" w:eastAsia="MS Mincho" w:hAnsi="MS Mincho" w:cs="MS Mincho" w:hint="eastAsia"/>
        </w:rPr>
        <w:t>​</w:t>
      </w:r>
    </w:p>
    <w:p w:rsidR="00F70005" w:rsidRDefault="005F3C9E">
      <w:pPr>
        <w:pStyle w:val="2"/>
        <w:spacing w:line="560" w:lineRule="exact"/>
        <w:ind w:firstLine="640"/>
      </w:pPr>
      <w:r>
        <w:rPr>
          <w:rFonts w:ascii="MS Mincho" w:eastAsiaTheme="minorEastAsia" w:hAnsi="MS Mincho" w:cs="MS Mincho"/>
        </w:rPr>
        <w:t>3</w:t>
      </w:r>
      <w:r>
        <w:rPr>
          <w:rFonts w:ascii="MS Mincho" w:eastAsiaTheme="minorEastAsia" w:hAnsi="MS Mincho" w:cs="MS Mincho" w:hint="eastAsia"/>
        </w:rPr>
        <w:t>、</w:t>
      </w:r>
      <w:r>
        <w:t>与行业标准</w:t>
      </w:r>
      <w:r>
        <w:rPr>
          <w:rFonts w:hint="eastAsia"/>
        </w:rPr>
        <w:t>和地方标准</w:t>
      </w:r>
      <w:r>
        <w:t>的关系</w:t>
      </w:r>
    </w:p>
    <w:p w:rsidR="00F70005" w:rsidRDefault="005F3C9E">
      <w:pPr>
        <w:pStyle w:val="af0"/>
        <w:ind w:firstLine="640"/>
      </w:pPr>
      <w:r>
        <w:rPr>
          <w:rFonts w:hint="eastAsia"/>
        </w:rPr>
        <w:t>参考药品不良反应监测、特殊管理药品管理等相关行业标准，吸收贵州、山东等地地方实践经验，将成熟有效的地方制度升级为全国适用的团体标准，同时为地方标准的优化提供参考，推动全国药物滥用监测标准体系协同发展。</w:t>
      </w:r>
    </w:p>
    <w:p w:rsidR="00F70005" w:rsidRDefault="005F3C9E">
      <w:pPr>
        <w:pStyle w:val="1"/>
        <w:ind w:firstLine="640"/>
      </w:pPr>
      <w:r>
        <w:rPr>
          <w:rFonts w:hint="eastAsia"/>
        </w:rPr>
        <w:lastRenderedPageBreak/>
        <w:t>五、主要内容</w:t>
      </w:r>
    </w:p>
    <w:p w:rsidR="00F70005" w:rsidRDefault="005F3C9E">
      <w:pPr>
        <w:pStyle w:val="2"/>
        <w:spacing w:line="560" w:lineRule="exact"/>
        <w:ind w:firstLine="640"/>
      </w:pPr>
      <w:r>
        <w:rPr>
          <w:rFonts w:hint="eastAsia"/>
        </w:rPr>
        <w:t>（一）标准名称</w:t>
      </w:r>
    </w:p>
    <w:p w:rsidR="00177C5F" w:rsidRDefault="00177C5F">
      <w:pPr>
        <w:pStyle w:val="2"/>
        <w:spacing w:line="560" w:lineRule="exact"/>
        <w:ind w:firstLine="640"/>
        <w:rPr>
          <w:rFonts w:ascii="宋体" w:eastAsia="仿宋_GB2312" w:hAnsi="Times New Roman" w:cs="Times New Roman"/>
          <w:bCs w:val="0"/>
          <w:kern w:val="0"/>
          <w:szCs w:val="20"/>
        </w:rPr>
      </w:pPr>
      <w:r w:rsidRPr="00177C5F">
        <w:rPr>
          <w:rFonts w:ascii="宋体" w:eastAsia="仿宋_GB2312" w:hAnsi="Times New Roman" w:cs="Times New Roman" w:hint="eastAsia"/>
          <w:bCs w:val="0"/>
          <w:kern w:val="0"/>
          <w:szCs w:val="20"/>
        </w:rPr>
        <w:t>中药不良反应风险信号提取工作指南</w:t>
      </w:r>
    </w:p>
    <w:p w:rsidR="00F70005" w:rsidRDefault="005F3C9E">
      <w:pPr>
        <w:pStyle w:val="2"/>
        <w:spacing w:line="560" w:lineRule="exact"/>
        <w:ind w:firstLine="640"/>
      </w:pPr>
      <w:bookmarkStart w:id="1" w:name="_GoBack"/>
      <w:bookmarkEnd w:id="1"/>
      <w:r>
        <w:rPr>
          <w:rFonts w:hint="eastAsia"/>
        </w:rPr>
        <w:t>（二）标准结构</w:t>
      </w:r>
    </w:p>
    <w:p w:rsidR="00F70005" w:rsidRDefault="005F3C9E">
      <w:pPr>
        <w:pStyle w:val="af0"/>
        <w:ind w:firstLine="640"/>
      </w:pPr>
      <w:r>
        <w:rPr>
          <w:rFonts w:hint="eastAsia"/>
        </w:rPr>
        <w:t>标准主要划分为范围、规范性引用文件、术语和定义、要求、报告和监测工作要求、评估六个章节。规定了医疗机构药物滥用监测工作的基本要求、工作要求和持续改进。</w:t>
      </w:r>
    </w:p>
    <w:p w:rsidR="00F70005" w:rsidRDefault="005F3C9E">
      <w:pPr>
        <w:pStyle w:val="2"/>
        <w:spacing w:line="560" w:lineRule="exact"/>
        <w:ind w:firstLine="640"/>
      </w:pPr>
      <w:r>
        <w:rPr>
          <w:rFonts w:hint="eastAsia"/>
        </w:rPr>
        <w:t>（三）标准主要说明</w:t>
      </w:r>
    </w:p>
    <w:p w:rsidR="00F70005" w:rsidRDefault="005F3C9E">
      <w:pPr>
        <w:pStyle w:val="af0"/>
        <w:ind w:firstLine="640"/>
      </w:pPr>
      <w:r>
        <w:rPr>
          <w:rFonts w:hint="eastAsia"/>
        </w:rPr>
        <w:t>标准规定了医疗机构药物滥用监测工作的基本要求、工作要求和持续改进。</w:t>
      </w:r>
    </w:p>
    <w:p w:rsidR="00F70005" w:rsidRDefault="005F3C9E">
      <w:pPr>
        <w:pStyle w:val="1"/>
        <w:ind w:firstLine="640"/>
      </w:pPr>
      <w:r>
        <w:rPr>
          <w:rFonts w:hint="eastAsia"/>
        </w:rPr>
        <w:t>六、重大意见分歧的处理依据和结果</w:t>
      </w:r>
    </w:p>
    <w:p w:rsidR="00F70005" w:rsidRDefault="005F3C9E">
      <w:pPr>
        <w:pStyle w:val="af0"/>
        <w:ind w:firstLine="640"/>
        <w:rPr>
          <w:rFonts w:ascii="黑体" w:eastAsia="黑体" w:hAnsi="黑体" w:cs="黑体"/>
        </w:rPr>
      </w:pPr>
      <w:r>
        <w:rPr>
          <w:rFonts w:hint="eastAsia"/>
        </w:rPr>
        <w:t>本文件制定过程征求了相关专家、医疗机构医护人员的意见和建议，无任何重大意见分歧。</w:t>
      </w:r>
    </w:p>
    <w:p w:rsidR="00F70005" w:rsidRDefault="005F3C9E">
      <w:pPr>
        <w:pStyle w:val="1"/>
        <w:ind w:firstLine="640"/>
      </w:pPr>
      <w:r>
        <w:rPr>
          <w:rFonts w:hint="eastAsia"/>
        </w:rPr>
        <w:t>七、采用国际标准或国外先进标准的，说明采标程度，以及国内外同类标准水平的对比情况</w:t>
      </w:r>
    </w:p>
    <w:p w:rsidR="00F70005" w:rsidRDefault="005F3C9E">
      <w:pPr>
        <w:pStyle w:val="af0"/>
        <w:ind w:firstLine="640"/>
      </w:pPr>
      <w:r>
        <w:rPr>
          <w:rFonts w:hint="eastAsia"/>
        </w:rPr>
        <w:t>本文件未采用国内外相关标准。</w:t>
      </w:r>
    </w:p>
    <w:p w:rsidR="00F70005" w:rsidRDefault="005F3C9E">
      <w:pPr>
        <w:pStyle w:val="1"/>
        <w:ind w:firstLine="640"/>
        <w:rPr>
          <w:rFonts w:ascii="仿宋" w:eastAsia="仿宋" w:hAnsi="仿宋" w:cs="仿宋"/>
        </w:rPr>
      </w:pPr>
      <w:r>
        <w:rPr>
          <w:rFonts w:hint="eastAsia"/>
        </w:rPr>
        <w:t>八、推广实施</w:t>
      </w:r>
    </w:p>
    <w:p w:rsidR="00F70005" w:rsidRDefault="005F3C9E">
      <w:pPr>
        <w:pStyle w:val="2"/>
        <w:spacing w:line="560" w:lineRule="exact"/>
        <w:ind w:firstLine="640"/>
      </w:pPr>
      <w:r>
        <w:rPr>
          <w:rFonts w:hint="eastAsia"/>
        </w:rPr>
        <w:t>1</w:t>
      </w:r>
      <w:r>
        <w:rPr>
          <w:rFonts w:hint="eastAsia"/>
        </w:rPr>
        <w:t>、</w:t>
      </w:r>
      <w:r>
        <w:t>宣传推广</w:t>
      </w:r>
      <w:r>
        <w:rPr>
          <w:rFonts w:ascii="MS Mincho" w:eastAsia="MS Mincho" w:hAnsi="MS Mincho" w:cs="MS Mincho" w:hint="eastAsia"/>
        </w:rPr>
        <w:t>​</w:t>
      </w:r>
    </w:p>
    <w:p w:rsidR="00F70005" w:rsidRDefault="005F3C9E">
      <w:pPr>
        <w:pStyle w:val="af0"/>
        <w:ind w:firstLine="640"/>
      </w:pPr>
      <w:r>
        <w:rPr>
          <w:rFonts w:hint="eastAsia"/>
        </w:rPr>
        <w:t>采用</w:t>
      </w:r>
      <w:r>
        <w:rPr>
          <w:rFonts w:hint="eastAsia"/>
        </w:rPr>
        <w:t xml:space="preserve"> </w:t>
      </w:r>
      <w:r>
        <w:rPr>
          <w:rFonts w:hint="eastAsia"/>
        </w:rPr>
        <w:t>“线上</w:t>
      </w:r>
      <w:r>
        <w:rPr>
          <w:rFonts w:hint="eastAsia"/>
        </w:rPr>
        <w:t xml:space="preserve"> + </w:t>
      </w:r>
      <w:r>
        <w:rPr>
          <w:rFonts w:hint="eastAsia"/>
        </w:rPr>
        <w:t>线下”</w:t>
      </w:r>
      <w:r>
        <w:rPr>
          <w:rFonts w:hint="eastAsia"/>
        </w:rPr>
        <w:t xml:space="preserve"> </w:t>
      </w:r>
      <w:r>
        <w:rPr>
          <w:rFonts w:hint="eastAsia"/>
        </w:rPr>
        <w:t>结合的方式，向医疗机构、监管部门、公众宣传标准的核心价值与实施意义，提升标准知晓度</w:t>
      </w:r>
    </w:p>
    <w:p w:rsidR="00F70005" w:rsidRDefault="005F3C9E">
      <w:pPr>
        <w:pStyle w:val="2"/>
        <w:spacing w:line="560" w:lineRule="exact"/>
        <w:ind w:firstLine="640"/>
      </w:pPr>
      <w:r>
        <w:rPr>
          <w:rFonts w:hint="eastAsia"/>
        </w:rPr>
        <w:lastRenderedPageBreak/>
        <w:t>2</w:t>
      </w:r>
      <w:r>
        <w:rPr>
          <w:rFonts w:hint="eastAsia"/>
        </w:rPr>
        <w:t>、</w:t>
      </w:r>
      <w:r>
        <w:t>培训教育</w:t>
      </w:r>
      <w:r>
        <w:rPr>
          <w:rFonts w:ascii="MS Mincho" w:eastAsia="MS Mincho" w:hAnsi="MS Mincho" w:cs="MS Mincho" w:hint="eastAsia"/>
        </w:rPr>
        <w:t>​</w:t>
      </w:r>
    </w:p>
    <w:p w:rsidR="00F70005" w:rsidRDefault="005F3C9E">
      <w:pPr>
        <w:pStyle w:val="af0"/>
        <w:ind w:firstLine="640"/>
      </w:pPr>
      <w:r>
        <w:rPr>
          <w:rFonts w:hint="eastAsia"/>
        </w:rPr>
        <w:t>组织开展师资，采用</w:t>
      </w:r>
      <w:r>
        <w:rPr>
          <w:rFonts w:hint="eastAsia"/>
        </w:rPr>
        <w:t xml:space="preserve"> </w:t>
      </w:r>
      <w:r>
        <w:rPr>
          <w:rFonts w:hint="eastAsia"/>
        </w:rPr>
        <w:t>“理论授课</w:t>
      </w:r>
      <w:r>
        <w:rPr>
          <w:rFonts w:hint="eastAsia"/>
        </w:rPr>
        <w:t xml:space="preserve"> + </w:t>
      </w:r>
      <w:r>
        <w:rPr>
          <w:rFonts w:hint="eastAsia"/>
        </w:rPr>
        <w:t>实操演练”</w:t>
      </w:r>
      <w:r>
        <w:rPr>
          <w:rFonts w:hint="eastAsia"/>
        </w:rPr>
        <w:t xml:space="preserve"> </w:t>
      </w:r>
      <w:r>
        <w:rPr>
          <w:rFonts w:hint="eastAsia"/>
        </w:rPr>
        <w:t>模式，确保医疗机构相关人员熟练掌握标准要求。建立培训跟踪服务机制，及时解答实施过程中的疑问</w:t>
      </w:r>
    </w:p>
    <w:p w:rsidR="00F70005" w:rsidRDefault="005F3C9E">
      <w:pPr>
        <w:pStyle w:val="2"/>
        <w:spacing w:line="560" w:lineRule="exact"/>
        <w:ind w:firstLine="640"/>
      </w:pPr>
      <w:r>
        <w:rPr>
          <w:rFonts w:hint="eastAsia"/>
        </w:rPr>
        <w:t>3</w:t>
      </w:r>
      <w:r>
        <w:rPr>
          <w:rFonts w:hint="eastAsia"/>
        </w:rPr>
        <w:t>、</w:t>
      </w:r>
      <w:r>
        <w:t>示范引领</w:t>
      </w:r>
      <w:r>
        <w:rPr>
          <w:rFonts w:ascii="MS Mincho" w:eastAsia="MS Mincho" w:hAnsi="MS Mincho" w:cs="MS Mincho" w:hint="eastAsia"/>
        </w:rPr>
        <w:t>​</w:t>
      </w:r>
    </w:p>
    <w:p w:rsidR="00F70005" w:rsidRDefault="005F3C9E">
      <w:pPr>
        <w:pStyle w:val="af0"/>
        <w:ind w:firstLine="640"/>
      </w:pPr>
      <w:r>
        <w:rPr>
          <w:rFonts w:hint="eastAsia"/>
        </w:rPr>
        <w:t>筛选一批医疗条件条件好、人员能力强的医疗机构作为示范单位，给予政策、技术支持，打造标准实施样板。总结试点经验，形成可复制、可推广的实施路径，逐步全面推开。</w:t>
      </w:r>
    </w:p>
    <w:p w:rsidR="00F70005" w:rsidRDefault="005F3C9E">
      <w:pPr>
        <w:pStyle w:val="1"/>
        <w:ind w:firstLine="640"/>
      </w:pPr>
      <w:r>
        <w:rPr>
          <w:rFonts w:hint="eastAsia"/>
        </w:rPr>
        <w:t>九、其他应说明的事项</w:t>
      </w:r>
    </w:p>
    <w:p w:rsidR="00F70005" w:rsidRDefault="005F3C9E">
      <w:pPr>
        <w:pBdr>
          <w:bottom w:val="single" w:sz="4" w:space="31" w:color="FFFFFF"/>
        </w:pBdr>
        <w:tabs>
          <w:tab w:val="left" w:pos="2700"/>
          <w:tab w:val="left" w:pos="2996"/>
          <w:tab w:val="left" w:pos="7710"/>
        </w:tabs>
        <w:adjustRightInd w:val="0"/>
        <w:snapToGrid w:val="0"/>
        <w:ind w:firstLine="560"/>
        <w:jc w:val="both"/>
        <w:rPr>
          <w:rFonts w:ascii="宋体" w:hAnsi="宋体"/>
          <w:sz w:val="28"/>
          <w:szCs w:val="28"/>
        </w:rPr>
      </w:pPr>
      <w:r>
        <w:rPr>
          <w:rFonts w:ascii="宋体" w:hAnsi="宋体" w:hint="eastAsia"/>
          <w:sz w:val="28"/>
          <w:szCs w:val="28"/>
        </w:rPr>
        <w:t>无。</w:t>
      </w:r>
    </w:p>
    <w:sectPr w:rsidR="00F7000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49E" w:rsidRDefault="0008349E">
      <w:pPr>
        <w:spacing w:line="240" w:lineRule="auto"/>
        <w:ind w:firstLine="640"/>
      </w:pPr>
      <w:r>
        <w:separator/>
      </w:r>
    </w:p>
  </w:endnote>
  <w:endnote w:type="continuationSeparator" w:id="0">
    <w:p w:rsidR="0008349E" w:rsidRDefault="0008349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10002FF" w:usb1="4000ACFF" w:usb2="00000009" w:usb3="00000000" w:csb0="0000019F" w:csb1="00000000"/>
  </w:font>
  <w:font w:name="方正小标宋简体">
    <w:charset w:val="86"/>
    <w:family w:val="script"/>
    <w:pitch w:val="fixed"/>
    <w:sig w:usb0="00000001" w:usb1="080E0000" w:usb2="00000010" w:usb3="00000000" w:csb0="00040000" w:csb1="00000000"/>
  </w:font>
  <w:font w:name="华文中宋">
    <w:charset w:val="86"/>
    <w:family w:val="auto"/>
    <w:pitch w:val="default"/>
    <w:sig w:usb0="00000287" w:usb1="080F0000" w:usb2="00000000" w:usb3="00000000" w:csb0="0004009F" w:csb1="DFD70000"/>
  </w:font>
  <w:font w:name="MS Mincho">
    <w:altName w:val="ＭＳ 明朝"/>
    <w:panose1 w:val="02020609040205080304"/>
    <w:charset w:val="80"/>
    <w:family w:val="modern"/>
    <w:pitch w:val="fixed"/>
    <w:sig w:usb0="E00002FF" w:usb1="6AC7FDFB" w:usb2="00000012" w:usb3="00000000" w:csb0="0002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49E" w:rsidRDefault="0008349E">
      <w:pPr>
        <w:spacing w:line="240" w:lineRule="auto"/>
        <w:ind w:firstLine="640"/>
      </w:pPr>
      <w:r>
        <w:separator/>
      </w:r>
    </w:p>
  </w:footnote>
  <w:footnote w:type="continuationSeparator" w:id="0">
    <w:p w:rsidR="0008349E" w:rsidRDefault="0008349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5F3C9E">
    <w:pPr>
      <w:pStyle w:val="a9"/>
      <w:pBdr>
        <w:bottom w:val="none" w:sz="0" w:space="1" w:color="auto"/>
      </w:pBdr>
      <w:tabs>
        <w:tab w:val="left" w:pos="3076"/>
      </w:tabs>
      <w:jc w:val="left"/>
    </w:pPr>
    <w:r>
      <w:rPr>
        <w:rFonts w:hint="eastAsia"/>
      </w:rPr>
      <w:tab/>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05" w:rsidRDefault="00F7000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74"/>
    <w:rsid w:val="D3EFB15B"/>
    <w:rsid w:val="DBD7E0E6"/>
    <w:rsid w:val="DE5D4C90"/>
    <w:rsid w:val="E7AC92AA"/>
    <w:rsid w:val="EFFDE105"/>
    <w:rsid w:val="FD7BE945"/>
    <w:rsid w:val="FF45A89D"/>
    <w:rsid w:val="FFDFE01E"/>
    <w:rsid w:val="FFFF2412"/>
    <w:rsid w:val="00031C75"/>
    <w:rsid w:val="00040554"/>
    <w:rsid w:val="000578AC"/>
    <w:rsid w:val="00071B7F"/>
    <w:rsid w:val="0008349E"/>
    <w:rsid w:val="000D06DD"/>
    <w:rsid w:val="000F3802"/>
    <w:rsid w:val="0017689F"/>
    <w:rsid w:val="00177C5F"/>
    <w:rsid w:val="001E25E9"/>
    <w:rsid w:val="001F0807"/>
    <w:rsid w:val="001F137B"/>
    <w:rsid w:val="002573AC"/>
    <w:rsid w:val="0026556E"/>
    <w:rsid w:val="002911A4"/>
    <w:rsid w:val="00295236"/>
    <w:rsid w:val="002C5DDC"/>
    <w:rsid w:val="00302EDB"/>
    <w:rsid w:val="0031191A"/>
    <w:rsid w:val="00316E7B"/>
    <w:rsid w:val="003815B8"/>
    <w:rsid w:val="003C055C"/>
    <w:rsid w:val="003D313F"/>
    <w:rsid w:val="003D4B6A"/>
    <w:rsid w:val="003E0658"/>
    <w:rsid w:val="00415657"/>
    <w:rsid w:val="004253B7"/>
    <w:rsid w:val="0043562C"/>
    <w:rsid w:val="00457C53"/>
    <w:rsid w:val="00492E82"/>
    <w:rsid w:val="004A0ECA"/>
    <w:rsid w:val="00556653"/>
    <w:rsid w:val="00570AF9"/>
    <w:rsid w:val="00574EA8"/>
    <w:rsid w:val="00586471"/>
    <w:rsid w:val="0059301C"/>
    <w:rsid w:val="005939E0"/>
    <w:rsid w:val="005A2425"/>
    <w:rsid w:val="005A53F3"/>
    <w:rsid w:val="005C1004"/>
    <w:rsid w:val="005C3FFB"/>
    <w:rsid w:val="005F3C9E"/>
    <w:rsid w:val="00604813"/>
    <w:rsid w:val="00613D37"/>
    <w:rsid w:val="0061639F"/>
    <w:rsid w:val="006452F2"/>
    <w:rsid w:val="00660CD9"/>
    <w:rsid w:val="00675CD8"/>
    <w:rsid w:val="006A2100"/>
    <w:rsid w:val="006C15CE"/>
    <w:rsid w:val="006E1171"/>
    <w:rsid w:val="006E7CBC"/>
    <w:rsid w:val="006F1574"/>
    <w:rsid w:val="00706FA3"/>
    <w:rsid w:val="0073750D"/>
    <w:rsid w:val="00747402"/>
    <w:rsid w:val="0077008C"/>
    <w:rsid w:val="007706A9"/>
    <w:rsid w:val="00791419"/>
    <w:rsid w:val="007E53EE"/>
    <w:rsid w:val="007F2EA0"/>
    <w:rsid w:val="0084350B"/>
    <w:rsid w:val="00852CC8"/>
    <w:rsid w:val="0087116C"/>
    <w:rsid w:val="00882D96"/>
    <w:rsid w:val="00891AE1"/>
    <w:rsid w:val="008B1418"/>
    <w:rsid w:val="008E1349"/>
    <w:rsid w:val="008E21A5"/>
    <w:rsid w:val="008F7733"/>
    <w:rsid w:val="00965AE8"/>
    <w:rsid w:val="00996EC0"/>
    <w:rsid w:val="009A40CD"/>
    <w:rsid w:val="009D15AB"/>
    <w:rsid w:val="009F6FE0"/>
    <w:rsid w:val="00A2333F"/>
    <w:rsid w:val="00A3565B"/>
    <w:rsid w:val="00A93D0E"/>
    <w:rsid w:val="00AB33CC"/>
    <w:rsid w:val="00AC1E1A"/>
    <w:rsid w:val="00B04878"/>
    <w:rsid w:val="00B20BCA"/>
    <w:rsid w:val="00B210DB"/>
    <w:rsid w:val="00B313A1"/>
    <w:rsid w:val="00B4323F"/>
    <w:rsid w:val="00BC59B9"/>
    <w:rsid w:val="00BD42B8"/>
    <w:rsid w:val="00C12EB8"/>
    <w:rsid w:val="00C2749D"/>
    <w:rsid w:val="00C67583"/>
    <w:rsid w:val="00C87F17"/>
    <w:rsid w:val="00C9168C"/>
    <w:rsid w:val="00CF3CF6"/>
    <w:rsid w:val="00D344A8"/>
    <w:rsid w:val="00D36AF8"/>
    <w:rsid w:val="00D70C90"/>
    <w:rsid w:val="00D979B6"/>
    <w:rsid w:val="00DA71EA"/>
    <w:rsid w:val="00DB11D4"/>
    <w:rsid w:val="00DB3869"/>
    <w:rsid w:val="00DD4B08"/>
    <w:rsid w:val="00DE30B9"/>
    <w:rsid w:val="00DE4584"/>
    <w:rsid w:val="00DF2E9F"/>
    <w:rsid w:val="00DF4520"/>
    <w:rsid w:val="00E24D15"/>
    <w:rsid w:val="00E6542B"/>
    <w:rsid w:val="00EE5B1B"/>
    <w:rsid w:val="00F21C45"/>
    <w:rsid w:val="00F70005"/>
    <w:rsid w:val="00F9456E"/>
    <w:rsid w:val="00FC4451"/>
    <w:rsid w:val="00FF13BC"/>
    <w:rsid w:val="16D51572"/>
    <w:rsid w:val="2EEA6B08"/>
    <w:rsid w:val="3F76E85B"/>
    <w:rsid w:val="3F986344"/>
    <w:rsid w:val="557D28C9"/>
    <w:rsid w:val="57FF0D70"/>
    <w:rsid w:val="5CB318AE"/>
    <w:rsid w:val="5DF71D31"/>
    <w:rsid w:val="5FCD1A56"/>
    <w:rsid w:val="67C021CA"/>
    <w:rsid w:val="69F67B13"/>
    <w:rsid w:val="78615E0F"/>
    <w:rsid w:val="7873DBC6"/>
    <w:rsid w:val="7E7F032B"/>
    <w:rsid w:val="7FDFE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979F"/>
  <w15:docId w15:val="{2B8D27F8-F7F0-4AB4-8D23-DAC393A1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60" w:lineRule="exact"/>
      <w:ind w:firstLineChars="200" w:firstLine="200"/>
    </w:pPr>
    <w:rPr>
      <w:rFonts w:ascii="仿宋_GB2312" w:eastAsia="仿宋_GB2312"/>
      <w:kern w:val="2"/>
      <w:sz w:val="32"/>
      <w:szCs w:val="32"/>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Theme="majorHAnsi" w:eastAsia="楷体_GB2312" w:hAnsiTheme="majorHAnsi" w:cstheme="majorBidi"/>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qFormat/>
    <w:pPr>
      <w:tabs>
        <w:tab w:val="center" w:pos="4153"/>
        <w:tab w:val="right" w:pos="8306"/>
      </w:tabs>
      <w:snapToGrid w:val="0"/>
    </w:pPr>
    <w:rPr>
      <w:sz w:val="18"/>
      <w:szCs w:val="18"/>
    </w:rPr>
  </w:style>
  <w:style w:type="paragraph" w:styleId="a5">
    <w:name w:val="Plain Text"/>
    <w:basedOn w:val="a"/>
    <w:link w:val="a6"/>
    <w:uiPriority w:val="99"/>
    <w:unhideWhenUsed/>
    <w:qFormat/>
    <w:pPr>
      <w:spacing w:line="240" w:lineRule="auto"/>
      <w:ind w:firstLineChars="0" w:firstLine="0"/>
      <w:jc w:val="both"/>
    </w:pPr>
    <w:rPr>
      <w:rFonts w:ascii="宋体" w:eastAsia="宋体" w:hAnsi="Courier New"/>
      <w:sz w:val="21"/>
      <w:szCs w:val="21"/>
    </w:rPr>
  </w:style>
  <w:style w:type="paragraph" w:styleId="a7">
    <w:name w:val="Balloon Text"/>
    <w:basedOn w:val="a"/>
    <w:link w:val="a8"/>
    <w:uiPriority w:val="99"/>
    <w:semiHidden/>
    <w:unhideWhenUsed/>
    <w:qFormat/>
    <w:pPr>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ind w:firstLine="360"/>
      <w:jc w:val="center"/>
    </w:pPr>
    <w:rPr>
      <w:sz w:val="18"/>
      <w:szCs w:val="18"/>
    </w:rPr>
  </w:style>
  <w:style w:type="paragraph" w:styleId="TOC1">
    <w:name w:val="toc 1"/>
    <w:basedOn w:val="a"/>
    <w:next w:val="a"/>
    <w:uiPriority w:val="39"/>
    <w:unhideWhenUsed/>
    <w:qFormat/>
    <w:rPr>
      <w:rFonts w:ascii="宋体"/>
    </w:rPr>
  </w:style>
  <w:style w:type="paragraph" w:styleId="TOC2">
    <w:name w:val="toc 2"/>
    <w:basedOn w:val="a"/>
    <w:next w:val="a"/>
    <w:uiPriority w:val="39"/>
    <w:unhideWhenUsed/>
    <w:qFormat/>
    <w:pPr>
      <w:tabs>
        <w:tab w:val="right" w:leader="dot" w:pos="9344"/>
      </w:tabs>
      <w:spacing w:line="300" w:lineRule="exact"/>
      <w:ind w:left="210"/>
    </w:pPr>
    <w:rPr>
      <w:rFonts w:ascii="宋体"/>
    </w:rPr>
  </w:style>
  <w:style w:type="paragraph" w:styleId="ab">
    <w:name w:val="Title"/>
    <w:basedOn w:val="a"/>
    <w:next w:val="a"/>
    <w:link w:val="ac"/>
    <w:qFormat/>
    <w:pPr>
      <w:outlineLvl w:val="1"/>
    </w:pPr>
    <w:rPr>
      <w:rFonts w:ascii="Cambria" w:eastAsia="楷体_GB2312" w:hAnsi="Cambria"/>
      <w:b/>
      <w:bCs/>
    </w:rPr>
  </w:style>
  <w:style w:type="table" w:styleId="ad">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semiHidden/>
    <w:unhideWhenUsed/>
    <w:qFormat/>
    <w:rPr>
      <w:color w:val="0000FF"/>
      <w:u w:val="single"/>
    </w:rPr>
  </w:style>
  <w:style w:type="character" w:customStyle="1" w:styleId="10">
    <w:name w:val="标题 1 字符"/>
    <w:basedOn w:val="a1"/>
    <w:link w:val="1"/>
    <w:qFormat/>
    <w:rPr>
      <w:rFonts w:ascii="仿宋_GB2312" w:eastAsia="黑体" w:hAnsi="Times New Roman" w:cs="Times New Roman"/>
      <w:bCs/>
      <w:kern w:val="44"/>
      <w:sz w:val="32"/>
      <w:szCs w:val="44"/>
    </w:rPr>
  </w:style>
  <w:style w:type="character" w:customStyle="1" w:styleId="aa">
    <w:name w:val="页眉 字符"/>
    <w:basedOn w:val="a1"/>
    <w:link w:val="a9"/>
    <w:qFormat/>
    <w:rPr>
      <w:rFonts w:ascii="仿宋_GB2312" w:eastAsia="仿宋_GB2312" w:hAnsi="Times New Roman" w:cs="Times New Roman"/>
      <w:sz w:val="18"/>
      <w:szCs w:val="18"/>
    </w:rPr>
  </w:style>
  <w:style w:type="character" w:customStyle="1" w:styleId="a4">
    <w:name w:val="页脚 字符"/>
    <w:basedOn w:val="a1"/>
    <w:link w:val="a0"/>
    <w:qFormat/>
    <w:rPr>
      <w:rFonts w:ascii="仿宋_GB2312" w:eastAsia="仿宋_GB2312" w:hAnsi="Times New Roman" w:cs="Times New Roman"/>
      <w:sz w:val="18"/>
      <w:szCs w:val="18"/>
    </w:rPr>
  </w:style>
  <w:style w:type="paragraph" w:styleId="af">
    <w:name w:val="List Paragraph"/>
    <w:basedOn w:val="a"/>
    <w:qFormat/>
    <w:pPr>
      <w:ind w:firstLine="420"/>
    </w:pPr>
  </w:style>
  <w:style w:type="paragraph" w:customStyle="1" w:styleId="af0">
    <w:name w:val="段"/>
    <w:link w:val="Char"/>
    <w:qFormat/>
    <w:pPr>
      <w:tabs>
        <w:tab w:val="center" w:pos="4201"/>
        <w:tab w:val="right" w:leader="dot" w:pos="9298"/>
      </w:tabs>
      <w:autoSpaceDE w:val="0"/>
      <w:autoSpaceDN w:val="0"/>
      <w:spacing w:line="560" w:lineRule="exact"/>
      <w:ind w:firstLineChars="200" w:firstLine="200"/>
      <w:jc w:val="both"/>
    </w:pPr>
    <w:rPr>
      <w:rFonts w:ascii="宋体" w:eastAsia="仿宋_GB2312"/>
      <w:sz w:val="32"/>
    </w:rPr>
  </w:style>
  <w:style w:type="character" w:customStyle="1" w:styleId="Char">
    <w:name w:val="段 Char"/>
    <w:basedOn w:val="a1"/>
    <w:link w:val="af0"/>
    <w:qFormat/>
    <w:rPr>
      <w:rFonts w:ascii="宋体" w:eastAsia="仿宋_GB2312"/>
      <w:sz w:val="32"/>
    </w:rPr>
  </w:style>
  <w:style w:type="character" w:customStyle="1" w:styleId="ac">
    <w:name w:val="标题 字符"/>
    <w:basedOn w:val="a1"/>
    <w:link w:val="ab"/>
    <w:qFormat/>
    <w:rPr>
      <w:rFonts w:ascii="Cambria" w:eastAsia="楷体_GB2312" w:hAnsi="Cambria" w:cs="Times New Roman"/>
      <w:b/>
      <w:bCs/>
      <w:sz w:val="32"/>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1">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1"/>
    <w:qFormat/>
    <w:rPr>
      <w:rFonts w:ascii="宋体"/>
      <w:sz w:val="21"/>
    </w:rPr>
  </w:style>
  <w:style w:type="paragraph" w:customStyle="1" w:styleId="af2">
    <w:name w:val="标准文件_表格"/>
    <w:basedOn w:val="af1"/>
    <w:qFormat/>
    <w:pPr>
      <w:ind w:firstLineChars="0" w:firstLine="0"/>
      <w:jc w:val="center"/>
    </w:pPr>
    <w:rPr>
      <w:sz w:val="18"/>
    </w:rPr>
  </w:style>
  <w:style w:type="character" w:customStyle="1" w:styleId="a8">
    <w:name w:val="批注框文本 字符"/>
    <w:basedOn w:val="a1"/>
    <w:link w:val="a7"/>
    <w:uiPriority w:val="99"/>
    <w:semiHidden/>
    <w:qFormat/>
    <w:rPr>
      <w:rFonts w:ascii="仿宋_GB2312" w:eastAsia="仿宋_GB2312"/>
      <w:kern w:val="2"/>
      <w:sz w:val="18"/>
      <w:szCs w:val="18"/>
    </w:rPr>
  </w:style>
  <w:style w:type="character" w:customStyle="1" w:styleId="lb">
    <w:name w:val="lb"/>
    <w:basedOn w:val="a1"/>
    <w:qFormat/>
  </w:style>
  <w:style w:type="character" w:customStyle="1" w:styleId="a6">
    <w:name w:val="纯文本 字符"/>
    <w:basedOn w:val="a1"/>
    <w:link w:val="a5"/>
    <w:uiPriority w:val="99"/>
    <w:qFormat/>
    <w:rPr>
      <w:rFonts w:ascii="宋体" w:hAnsi="Courier New"/>
      <w:kern w:val="2"/>
      <w:sz w:val="21"/>
      <w:szCs w:val="21"/>
    </w:rPr>
  </w:style>
  <w:style w:type="character" w:customStyle="1" w:styleId="20">
    <w:name w:val="标题 2 字符"/>
    <w:basedOn w:val="a1"/>
    <w:link w:val="2"/>
    <w:uiPriority w:val="9"/>
    <w:qFormat/>
    <w:rPr>
      <w:rFonts w:asciiTheme="majorHAnsi" w:eastAsia="楷体_GB2312" w:hAnsiTheme="majorHAnsi"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罗阳光</dc:creator>
  <cp:lastModifiedBy>zc</cp:lastModifiedBy>
  <cp:revision>3</cp:revision>
  <dcterms:created xsi:type="dcterms:W3CDTF">2025-11-24T05:36:00Z</dcterms:created>
  <dcterms:modified xsi:type="dcterms:W3CDTF">2025-11-27T02:54:00Z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eyJoZGlkIjoiNzdmNjkwNjczMmNiNjg3ZTEzZWU0NzJjOWI1M2U2MzgiLCJ1c2VySWQiOiI0MTc0MDU2OTYifQ==</vt:lpwstr>
  </property>
  <property fmtid="{D5CDD505-2E9C-101B-9397-08002B2CF9AE}" pid="4" name="ICV">
    <vt:lpwstr>1B0F786938574CEB9D24286A8963DCB4_13</vt:lpwstr>
  </property>
</Properties>
</file>