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347085">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47085">
              <w:rPr>
                <w:rFonts w:ascii="黑体" w:eastAsia="黑体" w:hAnsi="黑体"/>
                <w:sz w:val="21"/>
                <w:szCs w:val="21"/>
              </w:rPr>
              <w:t>67.120.01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160C2">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A3E60DD" wp14:editId="1616B4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10131E" wp14:editId="763A858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347085">
                    <w:t>NMSP</w:t>
                  </w:r>
                  <w:r w:rsidR="009C3257">
                    <w:fldChar w:fldCharType="end"/>
                  </w:r>
                  <w:bookmarkEnd w:id="1"/>
                </w:p>
              </w:tc>
            </w:tr>
          </w:tbl>
          <w:p w:rsidR="00FB231D" w:rsidRPr="00672BFD" w:rsidRDefault="00672BFD" w:rsidP="00347085">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47085">
              <w:rPr>
                <w:rFonts w:ascii="黑体" w:eastAsia="黑体" w:hAnsi="黑体"/>
                <w:sz w:val="21"/>
                <w:szCs w:val="21"/>
              </w:rPr>
              <w:t>X 22</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47085">
        <w:rPr>
          <w:rFonts w:ascii="黑体" w:eastAsia="黑体" w:hint="eastAsia"/>
          <w:b w:val="0"/>
          <w:w w:val="100"/>
          <w:sz w:val="48"/>
        </w:rPr>
        <w:t>内蒙古标准</w:t>
      </w:r>
      <w:r w:rsidR="00347085">
        <w:rPr>
          <w:rFonts w:ascii="黑体" w:eastAsia="黑体"/>
          <w:b w:val="0"/>
          <w:w w:val="100"/>
          <w:sz w:val="48"/>
        </w:rPr>
        <w:t>发展促进会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4160C2">
        <w:t>NMSP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75AB34F" wp14:editId="0D9D8C1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DA2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47085">
        <w:t>阿尔巴斯绒山羊分梳绒</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47085" w:rsidRPr="00347085">
        <w:rPr>
          <w:rFonts w:eastAsia="黑体"/>
          <w:noProof/>
          <w:szCs w:val="28"/>
        </w:rPr>
        <w:t>Albas Cashmere Goat Dehaired Cashmere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CA5E31">
        <w:rPr>
          <w:noProof/>
          <w:sz w:val="24"/>
          <w:szCs w:val="28"/>
        </w:rPr>
      </w:r>
      <w:r w:rsidR="00CA5E31">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CA5E31">
        <w:rPr>
          <w:b/>
          <w:noProof/>
          <w:sz w:val="21"/>
          <w:szCs w:val="28"/>
        </w:rPr>
      </w:r>
      <w:r w:rsidR="00CA5E31">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47085">
        <w:rPr>
          <w:rFonts w:hAnsi="黑体" w:hint="eastAsia"/>
          <w:w w:val="100"/>
          <w:sz w:val="28"/>
        </w:rPr>
        <w:t>内蒙古标准</w:t>
      </w:r>
      <w:r w:rsidR="00347085">
        <w:rPr>
          <w:rFonts w:hAnsi="黑体"/>
          <w:w w:val="100"/>
          <w:sz w:val="28"/>
        </w:rPr>
        <w:t>发展</w:t>
      </w:r>
      <w:r w:rsidR="00347085">
        <w:rPr>
          <w:rFonts w:hAnsi="黑体" w:hint="eastAsia"/>
          <w:w w:val="100"/>
          <w:sz w:val="28"/>
        </w:rPr>
        <w:t>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F63FC7">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10A2B72" wp14:editId="7E31625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3C44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347085" w:rsidRDefault="00347085" w:rsidP="00347085">
      <w:pPr>
        <w:pStyle w:val="a6"/>
        <w:spacing w:before="560" w:after="360"/>
      </w:pPr>
      <w:bookmarkStart w:id="21" w:name="BookMark2"/>
      <w:r w:rsidRPr="00347085">
        <w:rPr>
          <w:spacing w:val="320"/>
        </w:rPr>
        <w:lastRenderedPageBreak/>
        <w:t>前</w:t>
      </w:r>
      <w:r>
        <w:t>言</w:t>
      </w:r>
    </w:p>
    <w:p w:rsidR="00347085" w:rsidRDefault="00347085" w:rsidP="00347085">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347085" w:rsidRPr="00347085" w:rsidRDefault="00347085" w:rsidP="00347085">
      <w:pPr>
        <w:pStyle w:val="affffb"/>
        <w:ind w:firstLine="420"/>
      </w:pPr>
    </w:p>
    <w:p w:rsidR="00347085" w:rsidRDefault="00347085" w:rsidP="00347085">
      <w:pPr>
        <w:pStyle w:val="affffb"/>
        <w:ind w:firstLine="420"/>
      </w:pPr>
    </w:p>
    <w:p w:rsidR="00347085" w:rsidRDefault="00347085" w:rsidP="00347085">
      <w:pPr>
        <w:pStyle w:val="affffb"/>
        <w:ind w:firstLine="420"/>
      </w:pPr>
    </w:p>
    <w:p w:rsidR="00347085" w:rsidRDefault="00347085" w:rsidP="00347085">
      <w:pPr>
        <w:pStyle w:val="affffb"/>
        <w:ind w:firstLine="420"/>
      </w:pPr>
      <w:r>
        <w:rPr>
          <w:rFonts w:hint="eastAsia"/>
        </w:rPr>
        <w:t>本文件由</w:t>
      </w:r>
      <w:r>
        <w:rPr>
          <w:rFonts w:ascii="等线" w:hAnsi="等线" w:cs="宋体" w:hint="eastAsia"/>
          <w:color w:val="000000"/>
          <w:szCs w:val="21"/>
        </w:rPr>
        <w:t>鄂尔多斯市农牧业科学研究院</w:t>
      </w:r>
      <w:r>
        <w:rPr>
          <w:rFonts w:hint="eastAsia"/>
        </w:rPr>
        <w:t>提出。</w:t>
      </w:r>
    </w:p>
    <w:p w:rsidR="00347085" w:rsidRDefault="00347085" w:rsidP="00347085">
      <w:pPr>
        <w:pStyle w:val="affffb"/>
        <w:ind w:firstLine="420"/>
      </w:pPr>
      <w:r>
        <w:rPr>
          <w:rFonts w:hint="eastAsia"/>
        </w:rPr>
        <w:t>本文件由鄂尔多斯市农牧业标准化技术委员会</w:t>
      </w:r>
      <w:r>
        <w:rPr>
          <w:rFonts w:hint="eastAsia"/>
          <w:szCs w:val="21"/>
        </w:rPr>
        <w:t>（</w:t>
      </w:r>
      <w:r>
        <w:rPr>
          <w:rFonts w:hint="eastAsia"/>
          <w:szCs w:val="21"/>
        </w:rPr>
        <w:t>SAM/TC 19</w:t>
      </w:r>
      <w:r>
        <w:rPr>
          <w:rFonts w:hint="eastAsia"/>
          <w:szCs w:val="21"/>
        </w:rPr>
        <w:t>）</w:t>
      </w:r>
      <w:r>
        <w:rPr>
          <w:rFonts w:hint="eastAsia"/>
        </w:rPr>
        <w:t>归口。</w:t>
      </w:r>
    </w:p>
    <w:p w:rsidR="00347085" w:rsidRDefault="00347085" w:rsidP="00347085">
      <w:pPr>
        <w:pStyle w:val="affffb"/>
        <w:ind w:firstLine="420"/>
      </w:pPr>
      <w:r>
        <w:rPr>
          <w:rFonts w:hint="eastAsia"/>
        </w:rPr>
        <w:t>本文件起草单位：</w:t>
      </w:r>
      <w:r>
        <w:rPr>
          <w:rFonts w:ascii="等线" w:hAnsi="等线" w:cs="宋体" w:hint="eastAsia"/>
          <w:color w:val="000000"/>
          <w:szCs w:val="21"/>
        </w:rPr>
        <w:t>鄂尔多斯市农牧业科学研究院、新疆农业大学、鄂尔多斯市农牧技术推广中心、鄂托克旗农牧技术推广中心、鄂托克前旗农牧技术推广中心、鄂尔多斯集团、鄂托克旗伊吉汗羊绒制品有限责任公司、鄂尔多斯市农牧业投资发展有限责任公司、内蒙古劲牛现代农牧业发展有限公司、内蒙古亿维白绒山羊有限责任公司。</w:t>
      </w:r>
    </w:p>
    <w:p w:rsidR="00347085" w:rsidRDefault="00347085" w:rsidP="00347085">
      <w:pPr>
        <w:pStyle w:val="affffb"/>
        <w:ind w:firstLine="420"/>
      </w:pPr>
      <w:r>
        <w:rPr>
          <w:rFonts w:hint="eastAsia"/>
        </w:rPr>
        <w:t>本文件主要起草人：</w:t>
      </w:r>
    </w:p>
    <w:p w:rsidR="00347085" w:rsidRPr="00347085" w:rsidRDefault="00347085" w:rsidP="00347085">
      <w:pPr>
        <w:pStyle w:val="affffb"/>
        <w:ind w:firstLine="420"/>
        <w:sectPr w:rsidR="00347085" w:rsidRPr="00347085" w:rsidSect="00F63FC7">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820186F6A1E4E5EA9705FDF16A0555C"/>
        </w:placeholder>
      </w:sdtPr>
      <w:sdtEndPr/>
      <w:sdtContent>
        <w:bookmarkStart w:id="23" w:name="_GoBack" w:displacedByCustomXml="prev"/>
        <w:bookmarkStart w:id="24" w:name="NEW_STAND_NAME" w:displacedByCustomXml="prev"/>
        <w:p w:rsidR="00F26B7E" w:rsidRPr="00F26B7E" w:rsidRDefault="004A633C" w:rsidP="004A633C">
          <w:pPr>
            <w:pStyle w:val="afffffffff8"/>
            <w:spacing w:beforeLines="100" w:before="240" w:afterLines="220" w:after="528"/>
          </w:pPr>
          <w:r>
            <w:rPr>
              <w:rFonts w:hint="eastAsia"/>
            </w:rPr>
            <w:t>阿尔巴斯绒山羊分梳绒</w:t>
          </w:r>
        </w:p>
        <w:bookmarkEnd w:id="23" w:displacedByCustomXml="next"/>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r>
        <w:rPr>
          <w:rFonts w:hint="eastAsia"/>
        </w:rPr>
        <w:t>范围</w:t>
      </w:r>
      <w:bookmarkEnd w:id="25"/>
      <w:bookmarkEnd w:id="26"/>
      <w:bookmarkEnd w:id="27"/>
      <w:bookmarkEnd w:id="28"/>
      <w:bookmarkEnd w:id="29"/>
      <w:bookmarkEnd w:id="30"/>
      <w:bookmarkEnd w:id="31"/>
      <w:bookmarkEnd w:id="32"/>
      <w:bookmarkEnd w:id="33"/>
    </w:p>
    <w:p w:rsidR="008B0C9C" w:rsidRDefault="00347085" w:rsidP="008B0C9C">
      <w:pPr>
        <w:pStyle w:val="affffb"/>
        <w:ind w:firstLine="420"/>
      </w:pPr>
      <w:bookmarkStart w:id="34" w:name="_Toc17233326"/>
      <w:bookmarkStart w:id="35" w:name="_Toc17233334"/>
      <w:bookmarkStart w:id="36" w:name="_Toc24884212"/>
      <w:bookmarkStart w:id="37" w:name="_Toc24884219"/>
      <w:bookmarkStart w:id="38" w:name="_Toc26648466"/>
      <w:r w:rsidRPr="00347085">
        <w:rPr>
          <w:rFonts w:hint="eastAsia"/>
        </w:rPr>
        <w:t>本文件规定了阿尔巴斯分梳山羊绒的统一型号、试验方法、抽样要求、包装标志、运输储存及验收规则。</w:t>
      </w:r>
    </w:p>
    <w:p w:rsidR="00347085" w:rsidRPr="00347085" w:rsidRDefault="00347085" w:rsidP="008B0C9C">
      <w:pPr>
        <w:pStyle w:val="affffb"/>
        <w:ind w:firstLine="420"/>
      </w:pPr>
      <w:r w:rsidRPr="00347085">
        <w:rPr>
          <w:rFonts w:hint="eastAsia"/>
        </w:rPr>
        <w:t>本文件适用于阿尔巴斯山羊绒原绒经分梳的羊绒（天然色泽的白山羊绒、紫山羊绒、青山羊绒），作为生产加工、交货验收、交易的统一规定。</w:t>
      </w:r>
    </w:p>
    <w:p w:rsidR="00E2552F" w:rsidRDefault="00E2552F" w:rsidP="00A77CCB">
      <w:pPr>
        <w:pStyle w:val="affc"/>
        <w:spacing w:before="240" w:after="240"/>
      </w:pPr>
      <w:bookmarkStart w:id="39" w:name="_Toc26718931"/>
      <w:bookmarkStart w:id="40" w:name="_Toc26986531"/>
      <w:bookmarkStart w:id="41" w:name="_Toc26986772"/>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F62F8ED7FC594A378A1C84234EDFF1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347085" w:rsidP="00F65893">
      <w:pPr>
        <w:pStyle w:val="affffb"/>
        <w:ind w:firstLine="420"/>
      </w:pPr>
      <w:r w:rsidRPr="00347085">
        <w:rPr>
          <w:rFonts w:hint="eastAsia"/>
        </w:rPr>
        <w:t xml:space="preserve">GB/T 6500  </w:t>
      </w:r>
      <w:r w:rsidRPr="00347085">
        <w:rPr>
          <w:rFonts w:hint="eastAsia"/>
        </w:rPr>
        <w:t>毛绒纤维回潮率试验方法烘箱法</w:t>
      </w:r>
    </w:p>
    <w:p w:rsidR="00347085" w:rsidRDefault="00347085" w:rsidP="00F65893">
      <w:pPr>
        <w:pStyle w:val="affffb"/>
        <w:ind w:firstLine="420"/>
      </w:pPr>
      <w:r w:rsidRPr="00347085">
        <w:rPr>
          <w:rFonts w:hint="eastAsia"/>
        </w:rPr>
        <w:t xml:space="preserve">GB/T 6529  </w:t>
      </w:r>
      <w:r w:rsidRPr="00347085">
        <w:rPr>
          <w:rFonts w:hint="eastAsia"/>
        </w:rPr>
        <w:t>纺织品调湿和试验用标准大气</w:t>
      </w:r>
    </w:p>
    <w:p w:rsidR="00347085" w:rsidRDefault="00347085" w:rsidP="00F65893">
      <w:pPr>
        <w:pStyle w:val="affffb"/>
        <w:ind w:firstLine="420"/>
      </w:pPr>
      <w:r w:rsidRPr="00347085">
        <w:rPr>
          <w:rFonts w:hint="eastAsia"/>
        </w:rPr>
        <w:t xml:space="preserve">GB/T 8170  </w:t>
      </w:r>
      <w:r w:rsidRPr="00347085">
        <w:rPr>
          <w:rFonts w:hint="eastAsia"/>
        </w:rPr>
        <w:t>数值修约规则与极限数值的表示和判定</w:t>
      </w:r>
    </w:p>
    <w:p w:rsidR="00347085" w:rsidRDefault="00347085" w:rsidP="00F65893">
      <w:pPr>
        <w:pStyle w:val="affffb"/>
        <w:ind w:firstLine="420"/>
      </w:pPr>
      <w:r w:rsidRPr="00347085">
        <w:rPr>
          <w:rFonts w:hint="eastAsia"/>
        </w:rPr>
        <w:t xml:space="preserve">GB/T 10685  </w:t>
      </w:r>
      <w:r w:rsidRPr="00347085">
        <w:rPr>
          <w:rFonts w:hint="eastAsia"/>
        </w:rPr>
        <w:t>羊毛纤维直径试验方法投影显微镜法</w:t>
      </w:r>
    </w:p>
    <w:p w:rsidR="00347085" w:rsidRDefault="00347085" w:rsidP="00F65893">
      <w:pPr>
        <w:pStyle w:val="affffb"/>
        <w:ind w:firstLine="420"/>
      </w:pPr>
      <w:r w:rsidRPr="00347085">
        <w:rPr>
          <w:rFonts w:hint="eastAsia"/>
        </w:rPr>
        <w:t xml:space="preserve">GB/T 16988  </w:t>
      </w:r>
      <w:r w:rsidRPr="00347085">
        <w:rPr>
          <w:rFonts w:hint="eastAsia"/>
        </w:rPr>
        <w:t>特种动物纤维与绵羊毛混合物含量的测定</w:t>
      </w:r>
    </w:p>
    <w:p w:rsidR="00347085" w:rsidRDefault="00347085" w:rsidP="00F65893">
      <w:pPr>
        <w:pStyle w:val="affffb"/>
        <w:ind w:firstLine="420"/>
      </w:pPr>
      <w:r w:rsidRPr="00347085">
        <w:rPr>
          <w:rFonts w:hint="eastAsia"/>
        </w:rPr>
        <w:t xml:space="preserve">GB/T 21030  </w:t>
      </w:r>
      <w:r w:rsidRPr="00347085">
        <w:rPr>
          <w:rFonts w:hint="eastAsia"/>
        </w:rPr>
        <w:t>羊毛及其他动物纤维平均直径与分布试验方法纤维直径光学分析仪法</w:t>
      </w:r>
    </w:p>
    <w:p w:rsidR="00347085" w:rsidRDefault="00347085" w:rsidP="00F65893">
      <w:pPr>
        <w:pStyle w:val="affffb"/>
        <w:ind w:firstLine="420"/>
      </w:pPr>
      <w:r w:rsidRPr="00347085">
        <w:rPr>
          <w:rFonts w:hint="eastAsia"/>
        </w:rPr>
        <w:t xml:space="preserve">DB15/T 2273  </w:t>
      </w:r>
      <w:r w:rsidRPr="00347085">
        <w:rPr>
          <w:rFonts w:hint="eastAsia"/>
        </w:rPr>
        <w:t>山羊原绒质量要求</w:t>
      </w:r>
    </w:p>
    <w:p w:rsidR="00347085" w:rsidRPr="00347085" w:rsidRDefault="00347085" w:rsidP="00F65893">
      <w:pPr>
        <w:pStyle w:val="affffb"/>
        <w:ind w:firstLine="420"/>
      </w:pPr>
      <w:r w:rsidRPr="00347085">
        <w:rPr>
          <w:rFonts w:hint="eastAsia"/>
        </w:rPr>
        <w:t xml:space="preserve">IWTO-12  </w:t>
      </w:r>
      <w:r w:rsidRPr="00347085">
        <w:rPr>
          <w:rFonts w:hint="eastAsia"/>
        </w:rPr>
        <w:t>赛罗</w:t>
      </w:r>
      <w:r w:rsidRPr="00347085">
        <w:rPr>
          <w:rFonts w:hint="eastAsia"/>
        </w:rPr>
        <w:t xml:space="preserve">(Sirolan) </w:t>
      </w:r>
      <w:r w:rsidRPr="00347085">
        <w:rPr>
          <w:rFonts w:hint="eastAsia"/>
        </w:rPr>
        <w:t>激光扫描纤维直径分析仪测定平均纤维直径及纤维直径分布的方法</w:t>
      </w:r>
      <w:r w:rsidRPr="00347085">
        <w:rPr>
          <w:rFonts w:hint="eastAsia"/>
        </w:rPr>
        <w:t>(Measurement of the mean and distribution of fibre diameter using the Sirolan-laserscan fibre diameteranalyser)</w:t>
      </w:r>
    </w:p>
    <w:p w:rsidR="00B265BC" w:rsidRPr="00E030F9" w:rsidRDefault="00FD59EB" w:rsidP="00FD59EB">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id w:val="-1909835108"/>
        <w:placeholder>
          <w:docPart w:val="910756794422437CA2E94D38A3AD103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F1D7C" w:rsidP="00BA263B">
          <w:pPr>
            <w:pStyle w:val="affffb"/>
            <w:ind w:firstLine="420"/>
          </w:pPr>
          <w:r>
            <w:t>下列术语和定义适用于本文件。</w:t>
          </w:r>
        </w:p>
      </w:sdtContent>
    </w:sdt>
    <w:p w:rsidR="00DB286E"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阿尔巴斯绒山羊原绒 </w:t>
      </w:r>
      <w:proofErr w:type="spellStart"/>
      <w:r w:rsidRPr="002F1D7C">
        <w:rPr>
          <w:rFonts w:ascii="黑体" w:eastAsia="黑体" w:hAnsi="黑体" w:hint="eastAsia"/>
        </w:rPr>
        <w:t>Arbas</w:t>
      </w:r>
      <w:proofErr w:type="spellEnd"/>
      <w:r w:rsidRPr="002F1D7C">
        <w:rPr>
          <w:rFonts w:ascii="黑体" w:eastAsia="黑体" w:hAnsi="黑体" w:hint="eastAsia"/>
        </w:rPr>
        <w:t xml:space="preserve"> Cashmere Raw Material</w:t>
      </w:r>
    </w:p>
    <w:p w:rsidR="002F1D7C" w:rsidRPr="002F1D7C" w:rsidRDefault="002F1D7C" w:rsidP="002F1D7C">
      <w:pPr>
        <w:pStyle w:val="affffb"/>
        <w:ind w:firstLine="420"/>
      </w:pPr>
    </w:p>
    <w:p w:rsidR="00DB286E" w:rsidRDefault="002F1D7C" w:rsidP="00DB286E">
      <w:pPr>
        <w:pStyle w:val="affffb"/>
        <w:ind w:firstLine="420"/>
      </w:pPr>
      <w:r w:rsidRPr="002F1D7C">
        <w:rPr>
          <w:rFonts w:hint="eastAsia"/>
        </w:rPr>
        <w:t>从具有双层毛被的活体阿尔巴斯绒山羊身上取得的山羊绒。以绒毛为主附带有少量自然杂质的、未经加工的毛绒纤维。</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阿尔巴斯分梳山羊绒 </w:t>
      </w:r>
      <w:proofErr w:type="spellStart"/>
      <w:r w:rsidRPr="002F1D7C">
        <w:rPr>
          <w:rFonts w:ascii="黑体" w:eastAsia="黑体" w:hAnsi="黑体" w:hint="eastAsia"/>
        </w:rPr>
        <w:t>Arbas</w:t>
      </w:r>
      <w:proofErr w:type="spellEnd"/>
      <w:r w:rsidRPr="002F1D7C">
        <w:rPr>
          <w:rFonts w:ascii="黑体" w:eastAsia="黑体" w:hAnsi="黑体" w:hint="eastAsia"/>
        </w:rPr>
        <w:t xml:space="preserve"> </w:t>
      </w:r>
      <w:proofErr w:type="spellStart"/>
      <w:r w:rsidRPr="002F1D7C">
        <w:rPr>
          <w:rFonts w:ascii="黑体" w:eastAsia="黑体" w:hAnsi="黑体" w:hint="eastAsia"/>
        </w:rPr>
        <w:t>dehaired</w:t>
      </w:r>
      <w:proofErr w:type="spellEnd"/>
      <w:r w:rsidRPr="002F1D7C">
        <w:rPr>
          <w:rFonts w:ascii="黑体" w:eastAsia="黑体" w:hAnsi="黑体" w:hint="eastAsia"/>
        </w:rPr>
        <w:t xml:space="preserve"> cashmere</w:t>
      </w:r>
    </w:p>
    <w:p w:rsidR="002F1D7C" w:rsidRDefault="002F1D7C" w:rsidP="002F1D7C">
      <w:pPr>
        <w:pStyle w:val="affffb"/>
        <w:ind w:firstLine="420"/>
      </w:pPr>
      <w:r>
        <w:rPr>
          <w:rFonts w:hint="eastAsia"/>
        </w:rPr>
        <w:t>山羊原绒经洗涤、工业分梳加工后的山羊绒。</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阿尔巴斯纯新分梳山羊绒 </w:t>
      </w:r>
      <w:proofErr w:type="spellStart"/>
      <w:r w:rsidRPr="002F1D7C">
        <w:rPr>
          <w:rFonts w:ascii="黑体" w:eastAsia="黑体" w:hAnsi="黑体" w:hint="eastAsia"/>
        </w:rPr>
        <w:t>Arbas</w:t>
      </w:r>
      <w:proofErr w:type="spellEnd"/>
      <w:r w:rsidRPr="002F1D7C">
        <w:rPr>
          <w:rFonts w:ascii="黑体" w:eastAsia="黑体" w:hAnsi="黑体" w:hint="eastAsia"/>
        </w:rPr>
        <w:t xml:space="preserve"> pure virgin cashmere</w:t>
      </w:r>
    </w:p>
    <w:p w:rsidR="002F1D7C" w:rsidRPr="002F1D7C" w:rsidRDefault="002F1D7C" w:rsidP="002F1D7C">
      <w:pPr>
        <w:pStyle w:val="affffb"/>
        <w:ind w:firstLine="420"/>
      </w:pPr>
    </w:p>
    <w:p w:rsidR="002F1D7C" w:rsidRDefault="002F1D7C" w:rsidP="002F1D7C">
      <w:pPr>
        <w:pStyle w:val="affffb"/>
        <w:ind w:firstLine="420"/>
      </w:pPr>
      <w:r>
        <w:rPr>
          <w:rFonts w:hint="eastAsia"/>
        </w:rPr>
        <w:t>未经染色、纺纱、织造、后整理工艺、未使用过的，及未经化学处理（漂白、脱色、褪色等）的不</w:t>
      </w:r>
    </w:p>
    <w:p w:rsidR="00DB286E" w:rsidRDefault="002F1D7C" w:rsidP="002F1D7C">
      <w:pPr>
        <w:pStyle w:val="affffb"/>
        <w:ind w:firstLineChars="0" w:firstLine="0"/>
      </w:pPr>
      <w:r>
        <w:rPr>
          <w:rFonts w:hint="eastAsia"/>
        </w:rPr>
        <w:t>含非动物纤维和其它动物纤维的</w:t>
      </w:r>
      <w:r>
        <w:rPr>
          <w:rFonts w:hint="eastAsia"/>
        </w:rPr>
        <w:t>100 %</w:t>
      </w:r>
      <w:r>
        <w:rPr>
          <w:rFonts w:hint="eastAsia"/>
        </w:rPr>
        <w:t>分梳山羊绒。</w:t>
      </w:r>
    </w:p>
    <w:p w:rsidR="002F1D7C" w:rsidRDefault="002F1D7C" w:rsidP="002F1D7C">
      <w:pPr>
        <w:pStyle w:val="afffffffffff5"/>
        <w:ind w:left="420" w:hangingChars="200" w:hanging="420"/>
        <w:rPr>
          <w:rFonts w:ascii="黑体" w:eastAsia="黑体" w:hAnsi="黑体"/>
        </w:rPr>
      </w:pPr>
      <w:r w:rsidRPr="002F1D7C">
        <w:rPr>
          <w:rFonts w:ascii="黑体" w:eastAsia="黑体" w:hAnsi="黑体"/>
        </w:rPr>
        <w:br/>
      </w:r>
      <w:r>
        <w:rPr>
          <w:rFonts w:ascii="黑体" w:eastAsia="黑体" w:hAnsi="黑体" w:hint="eastAsia"/>
        </w:rPr>
        <w:t>粗毛</w:t>
      </w:r>
    </w:p>
    <w:p w:rsidR="002F1D7C" w:rsidRDefault="002F1D7C" w:rsidP="002F1D7C">
      <w:pPr>
        <w:pStyle w:val="affffb"/>
        <w:ind w:firstLine="420"/>
      </w:pPr>
      <w:r>
        <w:rPr>
          <w:rFonts w:hint="eastAsia"/>
        </w:rPr>
        <w:t>山羊绒中直径≥</w:t>
      </w:r>
      <w:r>
        <w:t xml:space="preserve">25 </w:t>
      </w:r>
      <w:r>
        <w:rPr>
          <w:rFonts w:hint="eastAsia"/>
        </w:rPr>
        <w:t>μ</w:t>
      </w:r>
      <w:r>
        <w:t>m</w:t>
      </w:r>
      <w:r>
        <w:rPr>
          <w:rFonts w:hint="eastAsia"/>
        </w:rPr>
        <w:t>的毛纤维。</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含粗率 guard hair content</w:t>
      </w:r>
    </w:p>
    <w:p w:rsidR="002F1D7C" w:rsidRDefault="002F1D7C" w:rsidP="002F1D7C">
      <w:pPr>
        <w:pStyle w:val="affffb"/>
        <w:ind w:firstLine="420"/>
      </w:pPr>
      <w:r>
        <w:rPr>
          <w:rFonts w:hint="eastAsia"/>
        </w:rPr>
        <w:t>分梳山羊绒中直径≥</w:t>
      </w:r>
      <w:r>
        <w:t xml:space="preserve">25 </w:t>
      </w:r>
      <w:r>
        <w:rPr>
          <w:rFonts w:hint="eastAsia"/>
        </w:rPr>
        <w:t>μ</w:t>
      </w:r>
      <w:r>
        <w:t>m</w:t>
      </w:r>
      <w:r>
        <w:rPr>
          <w:rFonts w:hint="eastAsia"/>
        </w:rPr>
        <w:t>的纤维质量占总质量的百分数。</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杂质 foreign matter</w:t>
      </w:r>
    </w:p>
    <w:p w:rsidR="002F1D7C" w:rsidRDefault="002F1D7C" w:rsidP="002F1D7C">
      <w:pPr>
        <w:pStyle w:val="affffb"/>
        <w:ind w:firstLine="420"/>
      </w:pPr>
      <w:r w:rsidRPr="002F1D7C">
        <w:rPr>
          <w:rFonts w:hint="eastAsia"/>
        </w:rPr>
        <w:lastRenderedPageBreak/>
        <w:t>山羊绒中附有的土杂、肤皮、草屑等非纤维性物质。</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含杂率 foreign matter content</w:t>
      </w:r>
    </w:p>
    <w:p w:rsidR="002F1D7C" w:rsidRDefault="002F1D7C" w:rsidP="002F1D7C">
      <w:pPr>
        <w:pStyle w:val="affffb"/>
        <w:ind w:firstLine="420"/>
      </w:pPr>
      <w:r w:rsidRPr="002F1D7C">
        <w:rPr>
          <w:rFonts w:hint="eastAsia"/>
        </w:rPr>
        <w:t>每克分梳山羊绒中含有杂质的个数。</w:t>
      </w:r>
    </w:p>
    <w:p w:rsidR="002F1D7C" w:rsidRP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异色纤维 dark </w:t>
      </w:r>
      <w:proofErr w:type="spellStart"/>
      <w:r w:rsidRPr="002F1D7C">
        <w:rPr>
          <w:rFonts w:ascii="黑体" w:eastAsia="黑体" w:hAnsi="黑体" w:hint="eastAsia"/>
        </w:rPr>
        <w:t>fibre</w:t>
      </w:r>
      <w:proofErr w:type="spellEnd"/>
    </w:p>
    <w:p w:rsidR="002F1D7C" w:rsidRDefault="002F1D7C" w:rsidP="00DB286E">
      <w:pPr>
        <w:pStyle w:val="affffb"/>
        <w:ind w:firstLine="420"/>
      </w:pPr>
      <w:r w:rsidRPr="002F1D7C">
        <w:rPr>
          <w:rFonts w:hint="eastAsia"/>
        </w:rPr>
        <w:t>羊绒中长度在</w:t>
      </w:r>
      <w:r w:rsidRPr="002F1D7C">
        <w:rPr>
          <w:rFonts w:hint="eastAsia"/>
        </w:rPr>
        <w:t>5 mm</w:t>
      </w:r>
      <w:r w:rsidRPr="002F1D7C">
        <w:rPr>
          <w:rFonts w:hint="eastAsia"/>
        </w:rPr>
        <w:t>及以上，颜色与其原基色有明显差异的毛绒纤维。</w:t>
      </w:r>
    </w:p>
    <w:p w:rsidR="002F1D7C" w:rsidRP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短绒率 short </w:t>
      </w:r>
      <w:proofErr w:type="spellStart"/>
      <w:r w:rsidRPr="002F1D7C">
        <w:rPr>
          <w:rFonts w:ascii="黑体" w:eastAsia="黑体" w:hAnsi="黑体" w:hint="eastAsia"/>
        </w:rPr>
        <w:t>fibre</w:t>
      </w:r>
      <w:proofErr w:type="spellEnd"/>
      <w:r w:rsidRPr="002F1D7C">
        <w:rPr>
          <w:rFonts w:ascii="黑体" w:eastAsia="黑体" w:hAnsi="黑体" w:hint="eastAsia"/>
        </w:rPr>
        <w:t xml:space="preserve"> content</w:t>
      </w:r>
    </w:p>
    <w:p w:rsidR="002A1260" w:rsidRDefault="002F1D7C" w:rsidP="00653FED">
      <w:pPr>
        <w:pStyle w:val="affffb"/>
        <w:ind w:firstLine="420"/>
      </w:pPr>
      <w:r>
        <w:rPr>
          <w:rFonts w:hint="eastAsia"/>
        </w:rPr>
        <w:t>纤维长度在</w:t>
      </w:r>
      <w:r>
        <w:t>15 mm</w:t>
      </w:r>
      <w:r>
        <w:rPr>
          <w:rFonts w:hint="eastAsia"/>
        </w:rPr>
        <w:t>及以下的绒纤维根数占总根数的百分数。</w:t>
      </w:r>
    </w:p>
    <w:p w:rsidR="002F1D7C" w:rsidRDefault="002F1D7C" w:rsidP="002F1D7C">
      <w:pPr>
        <w:pStyle w:val="afffffffffff5"/>
        <w:rPr>
          <w:rFonts w:ascii="黑体" w:eastAsia="黑体" w:hAnsi="黑体"/>
        </w:rPr>
      </w:pPr>
      <w:r w:rsidRPr="002F1D7C">
        <w:rPr>
          <w:rFonts w:ascii="黑体" w:eastAsia="黑体" w:hAnsi="黑体"/>
        </w:rPr>
        <w:br/>
      </w:r>
      <w:r w:rsidRPr="002F1D7C">
        <w:rPr>
          <w:rFonts w:ascii="黑体" w:eastAsia="黑体" w:hAnsi="黑体" w:hint="eastAsia"/>
        </w:rPr>
        <w:t xml:space="preserve">损伤纤维率 damaged </w:t>
      </w:r>
      <w:proofErr w:type="spellStart"/>
      <w:r w:rsidRPr="002F1D7C">
        <w:rPr>
          <w:rFonts w:ascii="黑体" w:eastAsia="黑体" w:hAnsi="黑体" w:hint="eastAsia"/>
        </w:rPr>
        <w:t>fibre</w:t>
      </w:r>
      <w:proofErr w:type="spellEnd"/>
      <w:r w:rsidRPr="002F1D7C">
        <w:rPr>
          <w:rFonts w:ascii="黑体" w:eastAsia="黑体" w:hAnsi="黑体" w:hint="eastAsia"/>
        </w:rPr>
        <w:t xml:space="preserve"> content</w:t>
      </w:r>
    </w:p>
    <w:p w:rsidR="00EC6C54" w:rsidRPr="00EC6C54" w:rsidRDefault="00EC6C54" w:rsidP="00EC6C54">
      <w:pPr>
        <w:pStyle w:val="affffb"/>
        <w:ind w:firstLine="420"/>
      </w:pPr>
      <w:r w:rsidRPr="00EC6C54">
        <w:rPr>
          <w:rFonts w:hint="eastAsia"/>
        </w:rPr>
        <w:t>纤维开叉、劈裂或纤维表面有显著损伤的根数占总根数的百分数。</w:t>
      </w:r>
    </w:p>
    <w:p w:rsidR="001D212F" w:rsidRDefault="00EC6C54" w:rsidP="00EC6C54">
      <w:pPr>
        <w:pStyle w:val="afffffffffff5"/>
        <w:rPr>
          <w:rFonts w:ascii="黑体" w:eastAsia="黑体" w:hAnsi="黑体"/>
        </w:rPr>
      </w:pPr>
      <w:r w:rsidRPr="00EC6C54">
        <w:rPr>
          <w:rFonts w:ascii="黑体" w:eastAsia="黑体" w:hAnsi="黑体"/>
        </w:rPr>
        <w:br/>
      </w:r>
      <w:r w:rsidRPr="00EC6C54">
        <w:rPr>
          <w:rFonts w:ascii="黑体" w:eastAsia="黑体" w:hAnsi="黑体" w:hint="eastAsia"/>
        </w:rPr>
        <w:t xml:space="preserve">非动物纤维 non-animal </w:t>
      </w:r>
      <w:proofErr w:type="spellStart"/>
      <w:r w:rsidRPr="00EC6C54">
        <w:rPr>
          <w:rFonts w:ascii="黑体" w:eastAsia="黑体" w:hAnsi="黑体" w:hint="eastAsia"/>
        </w:rPr>
        <w:t>fibre</w:t>
      </w:r>
      <w:proofErr w:type="spellEnd"/>
      <w:r w:rsidRPr="00EC6C54">
        <w:rPr>
          <w:rFonts w:ascii="黑体" w:eastAsia="黑体" w:hAnsi="黑体" w:hint="eastAsia"/>
        </w:rPr>
        <w:t>(s)</w:t>
      </w:r>
    </w:p>
    <w:p w:rsidR="00EC6C54" w:rsidRDefault="00EC6C54" w:rsidP="00EC6C54">
      <w:pPr>
        <w:pStyle w:val="affffb"/>
        <w:ind w:firstLine="420"/>
      </w:pPr>
      <w:r w:rsidRPr="00EC6C54">
        <w:rPr>
          <w:rFonts w:hint="eastAsia"/>
        </w:rPr>
        <w:t>山羊绒中含有的植物纤维、化学纤维等。</w:t>
      </w:r>
    </w:p>
    <w:p w:rsidR="00EC6C54" w:rsidRPr="00EC6C54" w:rsidRDefault="00EC6C54" w:rsidP="00EC6C54">
      <w:pPr>
        <w:pStyle w:val="afffffffffff5"/>
        <w:rPr>
          <w:rFonts w:ascii="黑体" w:eastAsia="黑体" w:hAnsi="黑体"/>
        </w:rPr>
      </w:pPr>
      <w:r w:rsidRPr="00EC6C54">
        <w:rPr>
          <w:rFonts w:ascii="黑体" w:eastAsia="黑体" w:hAnsi="黑体"/>
        </w:rPr>
        <w:br/>
      </w:r>
      <w:r w:rsidRPr="00EC6C54">
        <w:rPr>
          <w:rFonts w:ascii="黑体" w:eastAsia="黑体" w:hAnsi="黑体" w:hint="eastAsia"/>
        </w:rPr>
        <w:t xml:space="preserve">其他动物纤维other animal </w:t>
      </w:r>
      <w:proofErr w:type="spellStart"/>
      <w:r w:rsidRPr="00EC6C54">
        <w:rPr>
          <w:rFonts w:ascii="黑体" w:eastAsia="黑体" w:hAnsi="黑体" w:hint="eastAsia"/>
        </w:rPr>
        <w:t>fibre</w:t>
      </w:r>
      <w:proofErr w:type="spellEnd"/>
      <w:r w:rsidRPr="00EC6C54">
        <w:rPr>
          <w:rFonts w:ascii="黑体" w:eastAsia="黑体" w:hAnsi="黑体" w:hint="eastAsia"/>
        </w:rPr>
        <w:t>(s)</w:t>
      </w:r>
    </w:p>
    <w:p w:rsidR="007A5D3A" w:rsidRDefault="00EC6C54" w:rsidP="007A5D3A">
      <w:pPr>
        <w:pStyle w:val="affffb"/>
        <w:ind w:firstLine="420"/>
      </w:pPr>
      <w:r w:rsidRPr="00EC6C54">
        <w:rPr>
          <w:rFonts w:hint="eastAsia"/>
        </w:rPr>
        <w:t>山羊绒以外的其他动物纤维。</w:t>
      </w:r>
    </w:p>
    <w:p w:rsidR="00EC6C54" w:rsidRDefault="00EC6C54" w:rsidP="00EC6C54">
      <w:pPr>
        <w:pStyle w:val="afffffffffff5"/>
        <w:rPr>
          <w:rFonts w:ascii="黑体" w:eastAsia="黑体" w:hAnsi="黑体"/>
        </w:rPr>
      </w:pPr>
      <w:r w:rsidRPr="00EC6C54">
        <w:rPr>
          <w:rFonts w:ascii="黑体" w:eastAsia="黑体" w:hAnsi="黑体"/>
        </w:rPr>
        <w:br/>
      </w:r>
      <w:r w:rsidRPr="00EC6C54">
        <w:rPr>
          <w:rFonts w:ascii="黑体" w:eastAsia="黑体" w:hAnsi="黑体" w:hint="eastAsia"/>
        </w:rPr>
        <w:t xml:space="preserve">合成纤维 synthesis </w:t>
      </w:r>
      <w:proofErr w:type="spellStart"/>
      <w:r w:rsidRPr="00EC6C54">
        <w:rPr>
          <w:rFonts w:ascii="黑体" w:eastAsia="黑体" w:hAnsi="黑体" w:hint="eastAsia"/>
        </w:rPr>
        <w:t>fibre</w:t>
      </w:r>
      <w:proofErr w:type="spellEnd"/>
      <w:r w:rsidRPr="00EC6C54">
        <w:rPr>
          <w:rFonts w:ascii="黑体" w:eastAsia="黑体" w:hAnsi="黑体" w:hint="eastAsia"/>
        </w:rPr>
        <w:t>(s)</w:t>
      </w:r>
    </w:p>
    <w:p w:rsidR="00EC6C54" w:rsidRDefault="00EC6C54" w:rsidP="00EC6C54">
      <w:pPr>
        <w:pStyle w:val="affffb"/>
        <w:ind w:firstLine="420"/>
      </w:pPr>
      <w:r w:rsidRPr="00EC6C54">
        <w:rPr>
          <w:rFonts w:hint="eastAsia"/>
        </w:rPr>
        <w:t>以有机单体等化学原料合成的聚合物制成的化学纤维（如：</w:t>
      </w:r>
      <w:r w:rsidRPr="00EC6C54">
        <w:rPr>
          <w:rFonts w:hint="eastAsia"/>
        </w:rPr>
        <w:t>PP</w:t>
      </w:r>
      <w:r w:rsidRPr="00EC6C54">
        <w:rPr>
          <w:rFonts w:hint="eastAsia"/>
        </w:rPr>
        <w:t>等）。</w:t>
      </w:r>
    </w:p>
    <w:p w:rsidR="00EC6C54" w:rsidRDefault="00EC6C54" w:rsidP="00EC6C54">
      <w:pPr>
        <w:pStyle w:val="affc"/>
        <w:spacing w:before="240" w:after="240"/>
      </w:pPr>
      <w:r>
        <w:rPr>
          <w:rFonts w:hint="eastAsia"/>
        </w:rPr>
        <w:t>品质标识要求</w:t>
      </w:r>
    </w:p>
    <w:p w:rsidR="00EC6C54" w:rsidRDefault="00EC6C54" w:rsidP="00EC6C54">
      <w:pPr>
        <w:pStyle w:val="affd"/>
        <w:spacing w:before="120" w:after="120"/>
      </w:pPr>
      <w:r>
        <w:rPr>
          <w:rFonts w:hint="eastAsia"/>
        </w:rPr>
        <w:t>产品分类</w:t>
      </w:r>
    </w:p>
    <w:p w:rsidR="00EC6C54" w:rsidRDefault="00EC6C54" w:rsidP="00EC6C54">
      <w:pPr>
        <w:pStyle w:val="affffb"/>
        <w:ind w:firstLine="420"/>
      </w:pPr>
      <w:r w:rsidRPr="00EC6C54">
        <w:rPr>
          <w:rFonts w:hint="eastAsia"/>
        </w:rPr>
        <w:t>山羊绒按其天然颜色分为：白绒、青绒和紫绒，分别以字母</w:t>
      </w:r>
      <w:r w:rsidRPr="00EC6C54">
        <w:rPr>
          <w:rFonts w:hint="eastAsia"/>
        </w:rPr>
        <w:t>W</w:t>
      </w:r>
      <w:r w:rsidRPr="00EC6C54">
        <w:rPr>
          <w:rFonts w:hint="eastAsia"/>
        </w:rPr>
        <w:t>、</w:t>
      </w:r>
      <w:r w:rsidRPr="00EC6C54">
        <w:rPr>
          <w:rFonts w:hint="eastAsia"/>
        </w:rPr>
        <w:t>G</w:t>
      </w:r>
      <w:r w:rsidRPr="00EC6C54">
        <w:rPr>
          <w:rFonts w:hint="eastAsia"/>
        </w:rPr>
        <w:t>和</w:t>
      </w:r>
      <w:r w:rsidRPr="00EC6C54">
        <w:rPr>
          <w:rFonts w:hint="eastAsia"/>
        </w:rPr>
        <w:t>B</w:t>
      </w:r>
      <w:r w:rsidRPr="00EC6C54">
        <w:rPr>
          <w:rFonts w:hint="eastAsia"/>
        </w:rPr>
        <w:t>表示，其外观特征为：</w:t>
      </w:r>
    </w:p>
    <w:p w:rsidR="00EC6C54" w:rsidRDefault="00EC6C54" w:rsidP="00EC6C54">
      <w:pPr>
        <w:pStyle w:val="af5"/>
      </w:pPr>
      <w:r w:rsidRPr="00EC6C54">
        <w:rPr>
          <w:rFonts w:hint="eastAsia"/>
        </w:rPr>
        <w:t>白山羊绒：绒纤维和毛纤维均为自然白色；</w:t>
      </w:r>
    </w:p>
    <w:p w:rsidR="00EC6C54" w:rsidRDefault="00EC6C54" w:rsidP="00EC6C54">
      <w:pPr>
        <w:pStyle w:val="af5"/>
      </w:pPr>
      <w:r w:rsidRPr="00EC6C54">
        <w:rPr>
          <w:rFonts w:hint="eastAsia"/>
        </w:rPr>
        <w:t>青山羊绒：绒纤维呈灰白</w:t>
      </w:r>
      <w:proofErr w:type="gramStart"/>
      <w:r w:rsidRPr="00EC6C54">
        <w:rPr>
          <w:rFonts w:hint="eastAsia"/>
        </w:rPr>
        <w:t>青相间色</w:t>
      </w:r>
      <w:proofErr w:type="gramEnd"/>
      <w:r w:rsidRPr="00EC6C54">
        <w:rPr>
          <w:rFonts w:hint="eastAsia"/>
        </w:rPr>
        <w:t>，毛纤维呈黑白相间色或棕色；</w:t>
      </w:r>
    </w:p>
    <w:p w:rsidR="00EC6C54" w:rsidRPr="00EC6C54" w:rsidRDefault="00EC6C54" w:rsidP="00EC6C54">
      <w:pPr>
        <w:pStyle w:val="af5"/>
      </w:pPr>
      <w:r>
        <w:rPr>
          <w:rFonts w:hAnsi="宋体" w:cs="宋体" w:hint="eastAsia"/>
        </w:rPr>
        <w:t>紫山羊绒：绒纤维呈紫</w:t>
      </w:r>
      <w:proofErr w:type="gramStart"/>
      <w:r>
        <w:rPr>
          <w:rFonts w:hAnsi="宋体" w:cs="宋体" w:hint="eastAsia"/>
        </w:rPr>
        <w:t>棕相间色</w:t>
      </w:r>
      <w:proofErr w:type="gramEnd"/>
      <w:r>
        <w:rPr>
          <w:rFonts w:hAnsi="宋体" w:cs="宋体" w:hint="eastAsia"/>
        </w:rPr>
        <w:t>，毛纤维呈深棕色或黑色。不同颜色类别的山羊绒相混，按颜色深的定类。</w:t>
      </w:r>
    </w:p>
    <w:p w:rsidR="00EC6C54" w:rsidRDefault="00EC6C54" w:rsidP="00EC6C54">
      <w:pPr>
        <w:pStyle w:val="affd"/>
        <w:spacing w:before="120" w:after="120"/>
      </w:pPr>
      <w:r>
        <w:rPr>
          <w:rFonts w:hint="eastAsia"/>
        </w:rPr>
        <w:t>产品</w:t>
      </w:r>
      <w:r>
        <w:t>等级</w:t>
      </w:r>
    </w:p>
    <w:p w:rsidR="00EC6C54" w:rsidRDefault="00EC6C54" w:rsidP="00EC6C54">
      <w:pPr>
        <w:pStyle w:val="affffb"/>
        <w:ind w:firstLine="420"/>
      </w:pPr>
      <w:r w:rsidRPr="00EC6C54">
        <w:rPr>
          <w:rFonts w:hint="eastAsia"/>
        </w:rPr>
        <w:t>分梳山羊绒根据其平均直径、平均长度、短绒率、含粗率和含杂率分为以下型号，见表</w:t>
      </w:r>
      <w:r w:rsidRPr="00EC6C54">
        <w:rPr>
          <w:rFonts w:hint="eastAsia"/>
        </w:rPr>
        <w:t>1</w:t>
      </w:r>
      <w:r w:rsidRPr="00EC6C54">
        <w:rPr>
          <w:rFonts w:hint="eastAsia"/>
        </w:rPr>
        <w:t>。</w:t>
      </w:r>
    </w:p>
    <w:p w:rsidR="00EC6C54" w:rsidRDefault="00EC6C54" w:rsidP="00EC6C54">
      <w:pPr>
        <w:pStyle w:val="aff2"/>
        <w:spacing w:before="120" w:after="120"/>
      </w:pPr>
      <w:r>
        <w:rPr>
          <w:rFonts w:hint="eastAsia"/>
        </w:rPr>
        <w:t>分梳山羊</w:t>
      </w:r>
      <w:r>
        <w:t>绒型号</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332"/>
        <w:gridCol w:w="1333"/>
        <w:gridCol w:w="1333"/>
        <w:gridCol w:w="1334"/>
        <w:gridCol w:w="1334"/>
        <w:gridCol w:w="1334"/>
        <w:gridCol w:w="1334"/>
      </w:tblGrid>
      <w:tr w:rsidR="00EC6C54" w:rsidTr="00497AB8">
        <w:trPr>
          <w:tblHeader/>
          <w:jc w:val="center"/>
        </w:trPr>
        <w:tc>
          <w:tcPr>
            <w:tcW w:w="1332" w:type="dxa"/>
            <w:tcBorders>
              <w:top w:val="single" w:sz="8" w:space="0" w:color="auto"/>
              <w:bottom w:val="single" w:sz="8" w:space="0" w:color="auto"/>
            </w:tcBorders>
            <w:shd w:val="clear" w:color="auto" w:fill="auto"/>
            <w:vAlign w:val="center"/>
          </w:tcPr>
          <w:p w:rsidR="00EC6C54" w:rsidRDefault="00EC6C54" w:rsidP="00EC6C54">
            <w:pPr>
              <w:pStyle w:val="afffffffff9"/>
            </w:pPr>
            <w:r>
              <w:rPr>
                <w:rFonts w:hint="eastAsia"/>
              </w:rPr>
              <w:t>等级</w:t>
            </w:r>
          </w:p>
        </w:tc>
        <w:tc>
          <w:tcPr>
            <w:tcW w:w="1333" w:type="dxa"/>
            <w:tcBorders>
              <w:top w:val="single" w:sz="4" w:space="0" w:color="000000"/>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平均直径（</w:t>
            </w:r>
            <w:r>
              <w:rPr>
                <w:rFonts w:ascii="宋体" w:hAnsi="宋体" w:cs="宋体" w:hint="eastAsia"/>
                <w:color w:val="000000"/>
                <w:kern w:val="0"/>
                <w:lang w:val="en" w:bidi="ar"/>
              </w:rPr>
              <w:t>um</w:t>
            </w:r>
            <w:r>
              <w:rPr>
                <w:rFonts w:ascii="宋体" w:hAnsi="宋体" w:cs="宋体" w:hint="eastAsia"/>
                <w:color w:val="000000"/>
                <w:kern w:val="0"/>
                <w:lang w:bidi="ar"/>
              </w:rPr>
              <w:t>）</w:t>
            </w:r>
          </w:p>
        </w:tc>
        <w:tc>
          <w:tcPr>
            <w:tcW w:w="1333" w:type="dxa"/>
            <w:tcBorders>
              <w:top w:val="single" w:sz="4" w:space="0" w:color="000000"/>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lang w:val="en"/>
              </w:rPr>
            </w:pPr>
            <w:r>
              <w:rPr>
                <w:rFonts w:ascii="宋体" w:hAnsi="宋体" w:cs="宋体" w:hint="eastAsia"/>
                <w:color w:val="000000"/>
                <w:kern w:val="0"/>
                <w:lang w:bidi="ar"/>
              </w:rPr>
              <w:t>平 均 长 度</w:t>
            </w:r>
            <w:r>
              <w:rPr>
                <w:rFonts w:ascii="宋体" w:hAnsi="宋体" w:cs="宋体" w:hint="eastAsia"/>
                <w:color w:val="000000"/>
                <w:kern w:val="0"/>
                <w:lang w:val="en" w:bidi="ar"/>
              </w:rPr>
              <w:t>(mm)</w:t>
            </w:r>
          </w:p>
        </w:tc>
        <w:tc>
          <w:tcPr>
            <w:tcW w:w="1334" w:type="dxa"/>
            <w:tcBorders>
              <w:top w:val="single" w:sz="4" w:space="0" w:color="000000"/>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短绒率（％）</w:t>
            </w:r>
          </w:p>
        </w:tc>
        <w:tc>
          <w:tcPr>
            <w:tcW w:w="1334" w:type="dxa"/>
            <w:tcBorders>
              <w:top w:val="single" w:sz="4" w:space="0" w:color="000000"/>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lang w:val="en"/>
              </w:rPr>
            </w:pPr>
            <w:r>
              <w:rPr>
                <w:rFonts w:ascii="宋体" w:hAnsi="宋体" w:cs="宋体" w:hint="eastAsia"/>
                <w:color w:val="000000"/>
                <w:kern w:val="0"/>
                <w:lang w:bidi="ar"/>
              </w:rPr>
              <w:t>含粗率</w:t>
            </w:r>
            <w:r>
              <w:rPr>
                <w:rFonts w:ascii="宋体" w:hAnsi="宋体" w:cs="宋体" w:hint="eastAsia"/>
                <w:color w:val="000000"/>
                <w:kern w:val="0"/>
                <w:lang w:val="en" w:bidi="ar"/>
              </w:rPr>
              <w:t>(%)</w:t>
            </w:r>
          </w:p>
        </w:tc>
        <w:tc>
          <w:tcPr>
            <w:tcW w:w="1334" w:type="dxa"/>
            <w:tcBorders>
              <w:top w:val="single" w:sz="4" w:space="0" w:color="000000"/>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lang w:val="en"/>
              </w:rPr>
            </w:pPr>
            <w:r>
              <w:rPr>
                <w:rFonts w:ascii="宋体" w:hAnsi="宋体" w:cs="宋体" w:hint="eastAsia"/>
                <w:color w:val="000000"/>
                <w:kern w:val="0"/>
                <w:lang w:bidi="ar"/>
              </w:rPr>
              <w:t>含杂率（</w:t>
            </w:r>
            <w:proofErr w:type="gramStart"/>
            <w:r>
              <w:rPr>
                <w:rFonts w:ascii="宋体" w:hAnsi="宋体" w:cs="宋体" w:hint="eastAsia"/>
                <w:color w:val="000000"/>
                <w:kern w:val="0"/>
                <w:lang w:bidi="ar"/>
              </w:rPr>
              <w:t>个</w:t>
            </w:r>
            <w:proofErr w:type="gramEnd"/>
            <w:r>
              <w:rPr>
                <w:rFonts w:ascii="宋体" w:hAnsi="宋体" w:cs="宋体" w:hint="eastAsia"/>
                <w:color w:val="000000"/>
                <w:kern w:val="0"/>
                <w:lang w:val="en" w:bidi="ar"/>
              </w:rPr>
              <w:t>/g</w:t>
            </w:r>
          </w:p>
        </w:tc>
        <w:tc>
          <w:tcPr>
            <w:tcW w:w="1334" w:type="dxa"/>
            <w:tcBorders>
              <w:top w:val="single" w:sz="8" w:space="0" w:color="auto"/>
              <w:bottom w:val="single" w:sz="8" w:space="0" w:color="auto"/>
            </w:tcBorders>
            <w:shd w:val="clear" w:color="auto" w:fill="auto"/>
            <w:vAlign w:val="center"/>
          </w:tcPr>
          <w:p w:rsidR="00EC6C54" w:rsidRPr="00EC6C54" w:rsidRDefault="00EC6C54" w:rsidP="00EC6C54">
            <w:pPr>
              <w:pStyle w:val="afffffffff9"/>
            </w:pPr>
            <w:r>
              <w:rPr>
                <w:rFonts w:ascii="宋体" w:hAnsi="宋体" w:cs="宋体" w:hint="eastAsia"/>
                <w:color w:val="000000"/>
                <w:lang w:bidi="ar"/>
              </w:rPr>
              <w:t>异纤含量%≤</w:t>
            </w:r>
          </w:p>
        </w:tc>
      </w:tr>
      <w:tr w:rsidR="00EC6C54" w:rsidTr="00497AB8">
        <w:trPr>
          <w:jc w:val="center"/>
        </w:trPr>
        <w:tc>
          <w:tcPr>
            <w:tcW w:w="1332" w:type="dxa"/>
            <w:tcBorders>
              <w:top w:val="single" w:sz="8" w:space="0" w:color="auto"/>
            </w:tcBorders>
            <w:shd w:val="clear" w:color="auto" w:fill="auto"/>
            <w:vAlign w:val="center"/>
          </w:tcPr>
          <w:p w:rsidR="00EC6C54" w:rsidRDefault="00EC6C54" w:rsidP="00EC6C54">
            <w:pPr>
              <w:pStyle w:val="afffffffff9"/>
            </w:pPr>
            <w:r>
              <w:rPr>
                <w:rFonts w:ascii="宋体" w:hAnsi="宋体" w:cs="宋体" w:hint="eastAsia"/>
                <w:color w:val="000000"/>
                <w:lang w:bidi="ar"/>
              </w:rPr>
              <w:t>超优级</w:t>
            </w: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≤14.5</w:t>
            </w: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≥36.0</w:t>
            </w:r>
          </w:p>
        </w:tc>
        <w:tc>
          <w:tcPr>
            <w:tcW w:w="1334"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≤19</w:t>
            </w:r>
          </w:p>
        </w:tc>
        <w:tc>
          <w:tcPr>
            <w:tcW w:w="1334"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≤0.15</w:t>
            </w:r>
          </w:p>
        </w:tc>
        <w:tc>
          <w:tcPr>
            <w:tcW w:w="1334"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w:t>
            </w:r>
          </w:p>
        </w:tc>
        <w:tc>
          <w:tcPr>
            <w:tcW w:w="1334" w:type="dxa"/>
            <w:vMerge w:val="restart"/>
            <w:tcBorders>
              <w:top w:val="single" w:sz="8" w:space="0" w:color="auto"/>
            </w:tcBorders>
            <w:shd w:val="clear" w:color="auto" w:fill="auto"/>
            <w:vAlign w:val="center"/>
          </w:tcPr>
          <w:p w:rsidR="00EC6C54" w:rsidRDefault="00EC6C54" w:rsidP="00EC6C54">
            <w:pPr>
              <w:pStyle w:val="afffffffff9"/>
            </w:pPr>
            <w:r w:rsidRPr="00EC6C54">
              <w:t>0.02</w:t>
            </w:r>
          </w:p>
        </w:tc>
      </w:tr>
      <w:tr w:rsidR="00EC6C54" w:rsidTr="00497AB8">
        <w:trPr>
          <w:jc w:val="center"/>
        </w:trPr>
        <w:tc>
          <w:tcPr>
            <w:tcW w:w="1332" w:type="dxa"/>
            <w:vMerge w:val="restart"/>
            <w:shd w:val="clear" w:color="auto" w:fill="auto"/>
            <w:vAlign w:val="center"/>
          </w:tcPr>
          <w:p w:rsidR="00EC6C54" w:rsidRDefault="00EC6C54" w:rsidP="00EC6C54">
            <w:pPr>
              <w:pStyle w:val="afffffffff9"/>
            </w:pPr>
            <w:r w:rsidRPr="00EC6C54">
              <w:rPr>
                <w:rFonts w:hint="eastAsia"/>
              </w:rPr>
              <w:t>特优级</w:t>
            </w: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14.5≤15</w:t>
            </w:r>
          </w:p>
        </w:tc>
        <w:tc>
          <w:tcPr>
            <w:tcW w:w="1333" w:type="dxa"/>
            <w:tcBorders>
              <w:top w:val="single" w:sz="4" w:space="0" w:color="auto"/>
              <w:left w:val="single" w:sz="4" w:space="0" w:color="auto"/>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≥36.0</w:t>
            </w:r>
          </w:p>
        </w:tc>
        <w:tc>
          <w:tcPr>
            <w:tcW w:w="1334" w:type="dxa"/>
            <w:tcBorders>
              <w:top w:val="single" w:sz="4" w:space="0" w:color="auto"/>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≤19</w:t>
            </w:r>
          </w:p>
        </w:tc>
        <w:tc>
          <w:tcPr>
            <w:tcW w:w="1334" w:type="dxa"/>
            <w:tcBorders>
              <w:top w:val="single" w:sz="4" w:space="0" w:color="auto"/>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≤0.15</w:t>
            </w:r>
          </w:p>
        </w:tc>
        <w:tc>
          <w:tcPr>
            <w:tcW w:w="1334" w:type="dxa"/>
            <w:tcBorders>
              <w:top w:val="single" w:sz="4" w:space="0" w:color="auto"/>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shd w:val="clear" w:color="auto" w:fill="auto"/>
            <w:vAlign w:val="center"/>
          </w:tcPr>
          <w:p w:rsidR="00EC6C54" w:rsidRDefault="00EC6C54" w:rsidP="00EC6C54">
            <w:pPr>
              <w:pStyle w:val="afffffffff9"/>
            </w:pP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≤14.5</w:t>
            </w:r>
          </w:p>
        </w:tc>
        <w:tc>
          <w:tcPr>
            <w:tcW w:w="1333" w:type="dxa"/>
            <w:tcBorders>
              <w:top w:val="single" w:sz="4" w:space="0" w:color="auto"/>
              <w:left w:val="single" w:sz="4" w:space="0" w:color="auto"/>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32.0≤36.0</w:t>
            </w:r>
          </w:p>
        </w:tc>
        <w:tc>
          <w:tcPr>
            <w:tcW w:w="1334" w:type="dxa"/>
            <w:tcBorders>
              <w:top w:val="single" w:sz="4" w:space="0" w:color="auto"/>
              <w:left w:val="nil"/>
              <w:bottom w:val="single" w:sz="4" w:space="0" w:color="auto"/>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19～22</w:t>
            </w:r>
          </w:p>
        </w:tc>
        <w:tc>
          <w:tcPr>
            <w:tcW w:w="1334" w:type="dxa"/>
            <w:tcBorders>
              <w:top w:val="single" w:sz="4" w:space="0" w:color="auto"/>
              <w:left w:val="nil"/>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0.15～0.25</w:t>
            </w:r>
          </w:p>
        </w:tc>
        <w:tc>
          <w:tcPr>
            <w:tcW w:w="1334" w:type="dxa"/>
            <w:tcBorders>
              <w:top w:val="single" w:sz="4" w:space="0" w:color="000000"/>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40～70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val="restart"/>
            <w:shd w:val="clear" w:color="auto" w:fill="auto"/>
            <w:vAlign w:val="center"/>
          </w:tcPr>
          <w:p w:rsidR="00EC6C54" w:rsidRDefault="00EC6C54" w:rsidP="00EC6C54">
            <w:pPr>
              <w:pStyle w:val="afffffffff9"/>
            </w:pPr>
            <w:r w:rsidRPr="00EC6C54">
              <w:rPr>
                <w:rFonts w:hint="eastAsia"/>
              </w:rPr>
              <w:t>特级</w:t>
            </w: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15.0≤15.3</w:t>
            </w:r>
          </w:p>
        </w:tc>
        <w:tc>
          <w:tcPr>
            <w:tcW w:w="1333" w:type="dxa"/>
            <w:tcBorders>
              <w:top w:val="single" w:sz="4" w:space="0" w:color="auto"/>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≥36.0</w:t>
            </w:r>
          </w:p>
        </w:tc>
        <w:tc>
          <w:tcPr>
            <w:tcW w:w="1334" w:type="dxa"/>
            <w:tcBorders>
              <w:top w:val="single" w:sz="4" w:space="0" w:color="auto"/>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≤19</w:t>
            </w:r>
          </w:p>
        </w:tc>
        <w:tc>
          <w:tcPr>
            <w:tcW w:w="1334" w:type="dxa"/>
            <w:tcBorders>
              <w:top w:val="single" w:sz="4" w:space="0" w:color="auto"/>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≤0.25</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shd w:val="clear" w:color="auto" w:fill="auto"/>
            <w:vAlign w:val="center"/>
          </w:tcPr>
          <w:p w:rsidR="00EC6C54" w:rsidRDefault="00EC6C54" w:rsidP="00EC6C54">
            <w:pPr>
              <w:pStyle w:val="afffffffff9"/>
            </w:pP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14.5≤15</w:t>
            </w:r>
          </w:p>
        </w:tc>
        <w:tc>
          <w:tcPr>
            <w:tcW w:w="1333" w:type="dxa"/>
            <w:tcBorders>
              <w:top w:val="single" w:sz="4" w:space="0" w:color="000000"/>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32.0≤36.0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19～23</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0.25～0.30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40～70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shd w:val="clear" w:color="auto" w:fill="auto"/>
            <w:vAlign w:val="center"/>
          </w:tcPr>
          <w:p w:rsidR="00EC6C54" w:rsidRDefault="00EC6C54" w:rsidP="00EC6C54">
            <w:pPr>
              <w:pStyle w:val="afffffffff9"/>
            </w:pP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kern w:val="0"/>
                <w:lang w:bidi="ar"/>
              </w:rPr>
            </w:pPr>
            <w:r>
              <w:rPr>
                <w:rFonts w:ascii="宋体" w:hAnsi="宋体" w:cs="宋体" w:hint="eastAsia"/>
                <w:color w:val="000000"/>
                <w:kern w:val="0"/>
                <w:lang w:bidi="ar"/>
              </w:rPr>
              <w:t>≤14.5</w:t>
            </w:r>
          </w:p>
        </w:tc>
        <w:tc>
          <w:tcPr>
            <w:tcW w:w="1333" w:type="dxa"/>
            <w:tcBorders>
              <w:top w:val="single" w:sz="4" w:space="0" w:color="000000"/>
              <w:left w:val="single" w:sz="4" w:space="0" w:color="auto"/>
              <w:bottom w:val="nil"/>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28.0≤32.0</w:t>
            </w:r>
          </w:p>
        </w:tc>
        <w:tc>
          <w:tcPr>
            <w:tcW w:w="1334" w:type="dxa"/>
            <w:tcBorders>
              <w:top w:val="single" w:sz="4" w:space="0" w:color="000000"/>
              <w:left w:val="nil"/>
              <w:bottom w:val="nil"/>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23～26</w:t>
            </w:r>
          </w:p>
        </w:tc>
        <w:tc>
          <w:tcPr>
            <w:tcW w:w="1334" w:type="dxa"/>
            <w:tcBorders>
              <w:top w:val="single" w:sz="4" w:space="0" w:color="000000"/>
              <w:left w:val="nil"/>
              <w:bottom w:val="nil"/>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0.30～0.35</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70～100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val="restart"/>
            <w:shd w:val="clear" w:color="auto" w:fill="auto"/>
            <w:vAlign w:val="center"/>
          </w:tcPr>
          <w:p w:rsidR="00EC6C54" w:rsidRDefault="00EC6C54" w:rsidP="00EC6C54">
            <w:pPr>
              <w:pStyle w:val="afffffffff9"/>
            </w:pPr>
            <w:r w:rsidRPr="00EC6C54">
              <w:rPr>
                <w:rFonts w:hint="eastAsia"/>
              </w:rPr>
              <w:t>优级</w:t>
            </w: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15.3≤15.8</w:t>
            </w:r>
          </w:p>
        </w:tc>
        <w:tc>
          <w:tcPr>
            <w:tcW w:w="1333" w:type="dxa"/>
            <w:tcBorders>
              <w:top w:val="single" w:sz="4" w:space="0" w:color="000000"/>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≥36.0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≤23</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≤0.30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w:t>
            </w:r>
          </w:p>
        </w:tc>
        <w:tc>
          <w:tcPr>
            <w:tcW w:w="1334" w:type="dxa"/>
            <w:vMerge w:val="restart"/>
            <w:shd w:val="clear" w:color="auto" w:fill="auto"/>
            <w:vAlign w:val="center"/>
          </w:tcPr>
          <w:p w:rsidR="00EC6C54" w:rsidRDefault="00EC6C54" w:rsidP="00EC6C54">
            <w:pPr>
              <w:pStyle w:val="afffffffff9"/>
            </w:pPr>
            <w:r w:rsidRPr="00EC6C54">
              <w:t>0.03</w:t>
            </w:r>
          </w:p>
        </w:tc>
      </w:tr>
      <w:tr w:rsidR="00EC6C54" w:rsidTr="00497AB8">
        <w:trPr>
          <w:jc w:val="center"/>
        </w:trPr>
        <w:tc>
          <w:tcPr>
            <w:tcW w:w="1332" w:type="dxa"/>
            <w:vMerge/>
            <w:shd w:val="clear" w:color="auto" w:fill="auto"/>
            <w:vAlign w:val="center"/>
          </w:tcPr>
          <w:p w:rsidR="00EC6C54" w:rsidRDefault="00EC6C54" w:rsidP="00EC6C54">
            <w:pPr>
              <w:pStyle w:val="afffffffff9"/>
            </w:pP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15.0≤15.3</w:t>
            </w:r>
          </w:p>
        </w:tc>
        <w:tc>
          <w:tcPr>
            <w:tcW w:w="1333" w:type="dxa"/>
            <w:tcBorders>
              <w:top w:val="single" w:sz="4" w:space="0" w:color="000000"/>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32.0≤36.0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≤23</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≤0.30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w:t>
            </w:r>
          </w:p>
        </w:tc>
        <w:tc>
          <w:tcPr>
            <w:tcW w:w="1334" w:type="dxa"/>
            <w:vMerge/>
            <w:shd w:val="clear" w:color="auto" w:fill="auto"/>
            <w:vAlign w:val="center"/>
          </w:tcPr>
          <w:p w:rsidR="00EC6C54" w:rsidRDefault="00EC6C54" w:rsidP="00EC6C54">
            <w:pPr>
              <w:pStyle w:val="afffffffff9"/>
            </w:pPr>
          </w:p>
        </w:tc>
      </w:tr>
      <w:tr w:rsidR="00EC6C54" w:rsidTr="00497AB8">
        <w:trPr>
          <w:jc w:val="center"/>
        </w:trPr>
        <w:tc>
          <w:tcPr>
            <w:tcW w:w="1332" w:type="dxa"/>
            <w:vMerge/>
            <w:shd w:val="clear" w:color="auto" w:fill="auto"/>
            <w:vAlign w:val="center"/>
          </w:tcPr>
          <w:p w:rsidR="00EC6C54" w:rsidRDefault="00EC6C54" w:rsidP="00EC6C54">
            <w:pPr>
              <w:pStyle w:val="afffffffff9"/>
            </w:pPr>
          </w:p>
        </w:tc>
        <w:tc>
          <w:tcPr>
            <w:tcW w:w="1333" w:type="dxa"/>
            <w:tcBorders>
              <w:top w:val="single" w:sz="4" w:space="0" w:color="auto"/>
              <w:left w:val="single" w:sz="4" w:space="0" w:color="auto"/>
              <w:bottom w:val="single" w:sz="4" w:space="0" w:color="auto"/>
              <w:right w:val="single" w:sz="4" w:space="0" w:color="auto"/>
            </w:tcBorders>
            <w:vAlign w:val="center"/>
          </w:tcPr>
          <w:p w:rsidR="00EC6C54" w:rsidRDefault="00EC6C54" w:rsidP="00EC6C54">
            <w:pPr>
              <w:widowControl/>
              <w:spacing w:line="240" w:lineRule="auto"/>
              <w:jc w:val="center"/>
              <w:textAlignment w:val="center"/>
              <w:rPr>
                <w:rFonts w:ascii="宋体" w:hAnsi="宋体" w:cs="宋体"/>
                <w:kern w:val="0"/>
                <w:lang w:bidi="ar"/>
              </w:rPr>
            </w:pPr>
            <w:r>
              <w:rPr>
                <w:rFonts w:ascii="宋体" w:hAnsi="宋体" w:cs="宋体" w:hint="eastAsia"/>
                <w:color w:val="000000"/>
                <w:kern w:val="0"/>
                <w:lang w:bidi="ar"/>
              </w:rPr>
              <w:t>14.5≤15.0</w:t>
            </w:r>
          </w:p>
        </w:tc>
        <w:tc>
          <w:tcPr>
            <w:tcW w:w="1333" w:type="dxa"/>
            <w:tcBorders>
              <w:top w:val="single" w:sz="4" w:space="0" w:color="000000"/>
              <w:left w:val="single" w:sz="4" w:space="0" w:color="auto"/>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28.0≤32.0</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23～27</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0.30～0.35</w:t>
            </w:r>
          </w:p>
        </w:tc>
        <w:tc>
          <w:tcPr>
            <w:tcW w:w="1334" w:type="dxa"/>
            <w:tcBorders>
              <w:top w:val="single" w:sz="4" w:space="0" w:color="000000"/>
              <w:left w:val="nil"/>
              <w:bottom w:val="single" w:sz="4" w:space="0" w:color="000000"/>
              <w:right w:val="single" w:sz="4" w:space="0" w:color="000000"/>
            </w:tcBorders>
            <w:vAlign w:val="center"/>
          </w:tcPr>
          <w:p w:rsidR="00EC6C54" w:rsidRDefault="00EC6C54" w:rsidP="00EC6C54">
            <w:pPr>
              <w:widowControl/>
              <w:spacing w:line="240" w:lineRule="auto"/>
              <w:jc w:val="center"/>
              <w:textAlignment w:val="center"/>
              <w:rPr>
                <w:rFonts w:ascii="宋体" w:hAnsi="宋体" w:cs="宋体"/>
              </w:rPr>
            </w:pPr>
            <w:r>
              <w:rPr>
                <w:rFonts w:ascii="宋体" w:hAnsi="宋体" w:cs="宋体" w:hint="eastAsia"/>
                <w:color w:val="000000"/>
                <w:kern w:val="0"/>
                <w:lang w:bidi="ar"/>
              </w:rPr>
              <w:t>40～70</w:t>
            </w:r>
          </w:p>
        </w:tc>
        <w:tc>
          <w:tcPr>
            <w:tcW w:w="1334" w:type="dxa"/>
            <w:vMerge/>
            <w:shd w:val="clear" w:color="auto" w:fill="auto"/>
            <w:vAlign w:val="center"/>
          </w:tcPr>
          <w:p w:rsidR="00EC6C54" w:rsidRDefault="00EC6C54" w:rsidP="00EC6C54">
            <w:pPr>
              <w:pStyle w:val="afffffffff9"/>
            </w:pPr>
          </w:p>
        </w:tc>
        <w:bookmarkStart w:id="45" w:name="脚注"/>
        <w:bookmarkEnd w:id="45"/>
      </w:tr>
      <w:tr w:rsidR="00497AB8" w:rsidTr="00497AB8">
        <w:trPr>
          <w:trHeight w:val="657"/>
          <w:jc w:val="center"/>
        </w:trPr>
        <w:tc>
          <w:tcPr>
            <w:tcW w:w="9334" w:type="dxa"/>
            <w:gridSpan w:val="7"/>
            <w:tcBorders>
              <w:top w:val="single" w:sz="8" w:space="0" w:color="auto"/>
              <w:bottom w:val="single" w:sz="8" w:space="0" w:color="auto"/>
            </w:tcBorders>
            <w:shd w:val="clear" w:color="auto" w:fill="auto"/>
            <w:vAlign w:val="center"/>
          </w:tcPr>
          <w:p w:rsidR="00497AB8" w:rsidRDefault="00497AB8" w:rsidP="00497AB8">
            <w:pPr>
              <w:pStyle w:val="afff2"/>
            </w:pPr>
            <w:r w:rsidRPr="00497AB8">
              <w:rPr>
                <w:rFonts w:hint="eastAsia"/>
              </w:rPr>
              <w:lastRenderedPageBreak/>
              <w:t>各列中的数值范围为开区间，同一列中相同的数值归为其同类同级的上一个区间。</w:t>
            </w:r>
          </w:p>
        </w:tc>
      </w:tr>
    </w:tbl>
    <w:p w:rsidR="00D10E08" w:rsidRDefault="00D10E08" w:rsidP="00D10E08">
      <w:pPr>
        <w:pStyle w:val="affd"/>
        <w:spacing w:before="120" w:after="120"/>
      </w:pPr>
      <w:r>
        <w:rPr>
          <w:rFonts w:hint="eastAsia"/>
        </w:rPr>
        <w:t>其他</w:t>
      </w:r>
      <w:r>
        <w:t>品质</w:t>
      </w:r>
    </w:p>
    <w:p w:rsidR="00D10E08" w:rsidRDefault="00D10E08" w:rsidP="00D10E08">
      <w:pPr>
        <w:pStyle w:val="affffb"/>
        <w:ind w:firstLine="420"/>
      </w:pPr>
      <w:r w:rsidRPr="00D10E08">
        <w:rPr>
          <w:rFonts w:hint="eastAsia"/>
        </w:rPr>
        <w:t>所有型号的纯新分梳山羊绒还应符合以下要求：</w:t>
      </w:r>
    </w:p>
    <w:p w:rsidR="00D10E08" w:rsidRDefault="00D10E08" w:rsidP="00D10E08">
      <w:pPr>
        <w:pStyle w:val="af5"/>
        <w:numPr>
          <w:ilvl w:val="0"/>
          <w:numId w:val="33"/>
        </w:numPr>
      </w:pPr>
      <w:r w:rsidRPr="00D10E08">
        <w:rPr>
          <w:rFonts w:hint="eastAsia"/>
        </w:rPr>
        <w:t>直径变异系数（CV %）≤24 %。</w:t>
      </w:r>
    </w:p>
    <w:p w:rsidR="00D10E08" w:rsidRDefault="00D10E08" w:rsidP="00D10E08">
      <w:pPr>
        <w:pStyle w:val="af5"/>
        <w:numPr>
          <w:ilvl w:val="0"/>
          <w:numId w:val="33"/>
        </w:numPr>
      </w:pPr>
      <w:r w:rsidRPr="00D10E08">
        <w:rPr>
          <w:rFonts w:hint="eastAsia"/>
        </w:rPr>
        <w:t>不得含有其他动物纤维。</w:t>
      </w:r>
    </w:p>
    <w:p w:rsidR="00D10E08" w:rsidRDefault="00D10E08" w:rsidP="00D10E08">
      <w:pPr>
        <w:pStyle w:val="af5"/>
        <w:numPr>
          <w:ilvl w:val="0"/>
          <w:numId w:val="33"/>
        </w:numPr>
      </w:pPr>
      <w:r w:rsidRPr="00D10E08">
        <w:rPr>
          <w:rFonts w:hint="eastAsia"/>
        </w:rPr>
        <w:t>白山羊绒的异色纤维数量：白中白（L）≤15根/5 g；普白（N）≤16-30根/5 g。</w:t>
      </w:r>
    </w:p>
    <w:p w:rsidR="00D10E08" w:rsidRDefault="00D10E08" w:rsidP="00D10E08">
      <w:pPr>
        <w:pStyle w:val="af5"/>
        <w:numPr>
          <w:ilvl w:val="0"/>
          <w:numId w:val="33"/>
        </w:numPr>
      </w:pPr>
      <w:r w:rsidRPr="00D10E08">
        <w:rPr>
          <w:rFonts w:hint="eastAsia"/>
        </w:rPr>
        <w:t>pH值6.0-7.5。</w:t>
      </w:r>
    </w:p>
    <w:p w:rsidR="00D10E08" w:rsidRPr="00D10E08" w:rsidRDefault="00D10E08" w:rsidP="00D10E08">
      <w:pPr>
        <w:pStyle w:val="af5"/>
        <w:numPr>
          <w:ilvl w:val="0"/>
          <w:numId w:val="33"/>
        </w:numPr>
      </w:pPr>
      <w:r w:rsidRPr="00D10E08">
        <w:rPr>
          <w:rFonts w:hint="eastAsia"/>
        </w:rPr>
        <w:t>残余表面活性剂APEO（OP、 OPEO、 NP、 NPEO）总含量&lt;50 mg/kg。</w:t>
      </w:r>
    </w:p>
    <w:p w:rsidR="00D10E08" w:rsidRDefault="00D10E08" w:rsidP="00D10E08">
      <w:pPr>
        <w:pStyle w:val="affd"/>
        <w:spacing w:before="120" w:after="120"/>
      </w:pPr>
      <w:r>
        <w:rPr>
          <w:rFonts w:hint="eastAsia"/>
        </w:rPr>
        <w:t>品质</w:t>
      </w:r>
      <w:r>
        <w:t>标识</w:t>
      </w:r>
    </w:p>
    <w:p w:rsidR="00D10E08" w:rsidRPr="00D10E08" w:rsidRDefault="00D10E08" w:rsidP="00D10E08">
      <w:pPr>
        <w:pStyle w:val="affffb"/>
        <w:ind w:firstLine="420"/>
      </w:pPr>
      <w:r w:rsidRPr="00D10E08">
        <w:rPr>
          <w:rFonts w:hint="eastAsia"/>
        </w:rPr>
        <w:t>分梳山羊绒的品质标识代号由分梳山羊绒、颜色（见</w:t>
      </w:r>
      <w:r w:rsidRPr="00D10E08">
        <w:rPr>
          <w:rFonts w:hint="eastAsia"/>
        </w:rPr>
        <w:t>4.1</w:t>
      </w:r>
      <w:r w:rsidRPr="00D10E08">
        <w:rPr>
          <w:rFonts w:hint="eastAsia"/>
        </w:rPr>
        <w:t>）和型号（见</w:t>
      </w:r>
      <w:r w:rsidRPr="00D10E08">
        <w:rPr>
          <w:rFonts w:hint="eastAsia"/>
        </w:rPr>
        <w:t>4.2</w:t>
      </w:r>
      <w:r w:rsidRPr="00D10E08">
        <w:rPr>
          <w:rFonts w:hint="eastAsia"/>
        </w:rPr>
        <w:t>）构成。例如：平均直径</w:t>
      </w:r>
      <w:r w:rsidRPr="00D10E08">
        <w:rPr>
          <w:rFonts w:hint="eastAsia"/>
        </w:rPr>
        <w:t>14.5</w:t>
      </w:r>
      <w:r w:rsidRPr="00D10E08">
        <w:rPr>
          <w:rFonts w:hint="eastAsia"/>
        </w:rPr>
        <w:t>～</w:t>
      </w:r>
      <w:r w:rsidRPr="00D10E08">
        <w:rPr>
          <w:rFonts w:hint="eastAsia"/>
        </w:rPr>
        <w:t xml:space="preserve">15.0 </w:t>
      </w:r>
      <w:r w:rsidRPr="00D10E08">
        <w:rPr>
          <w:rFonts w:hint="eastAsia"/>
        </w:rPr>
        <w:t>μ</w:t>
      </w:r>
      <w:r w:rsidRPr="00D10E08">
        <w:rPr>
          <w:rFonts w:hint="eastAsia"/>
        </w:rPr>
        <w:t>m</w:t>
      </w:r>
      <w:r w:rsidRPr="00D10E08">
        <w:rPr>
          <w:rFonts w:hint="eastAsia"/>
        </w:rPr>
        <w:t>，平均长度</w:t>
      </w:r>
      <w:r w:rsidRPr="00D10E08">
        <w:rPr>
          <w:rFonts w:hint="eastAsia"/>
        </w:rPr>
        <w:t>32.0</w:t>
      </w:r>
      <w:r w:rsidRPr="00D10E08">
        <w:rPr>
          <w:rFonts w:hint="eastAsia"/>
        </w:rPr>
        <w:t>～</w:t>
      </w:r>
      <w:r w:rsidRPr="00D10E08">
        <w:rPr>
          <w:rFonts w:hint="eastAsia"/>
        </w:rPr>
        <w:t>36.0 mm</w:t>
      </w:r>
      <w:r w:rsidRPr="00D10E08">
        <w:rPr>
          <w:rFonts w:hint="eastAsia"/>
        </w:rPr>
        <w:t>，短绒率</w:t>
      </w:r>
      <w:r w:rsidRPr="00D10E08">
        <w:rPr>
          <w:rFonts w:hint="eastAsia"/>
        </w:rPr>
        <w:t>19.0</w:t>
      </w:r>
      <w:r w:rsidRPr="00D10E08">
        <w:rPr>
          <w:rFonts w:hint="eastAsia"/>
        </w:rPr>
        <w:t>～</w:t>
      </w:r>
      <w:r w:rsidRPr="00D10E08">
        <w:rPr>
          <w:rFonts w:hint="eastAsia"/>
        </w:rPr>
        <w:t>22.0 %</w:t>
      </w:r>
      <w:r w:rsidRPr="00D10E08">
        <w:rPr>
          <w:rFonts w:hint="eastAsia"/>
        </w:rPr>
        <w:t>，含粗不大于</w:t>
      </w:r>
      <w:r w:rsidRPr="00D10E08">
        <w:rPr>
          <w:rFonts w:hint="eastAsia"/>
        </w:rPr>
        <w:t>0.25</w:t>
      </w:r>
      <w:r w:rsidRPr="00D10E08">
        <w:rPr>
          <w:rFonts w:hint="eastAsia"/>
        </w:rPr>
        <w:t>～</w:t>
      </w:r>
      <w:r w:rsidRPr="00D10E08">
        <w:rPr>
          <w:rFonts w:hint="eastAsia"/>
        </w:rPr>
        <w:t>0.3 %</w:t>
      </w:r>
      <w:r w:rsidRPr="00D10E08">
        <w:rPr>
          <w:rFonts w:hint="eastAsia"/>
        </w:rPr>
        <w:t>，含杂率</w:t>
      </w:r>
      <w:r w:rsidRPr="00D10E08">
        <w:rPr>
          <w:rFonts w:hint="eastAsia"/>
        </w:rPr>
        <w:t>50</w:t>
      </w:r>
      <w:r w:rsidRPr="00D10E08">
        <w:rPr>
          <w:rFonts w:hint="eastAsia"/>
        </w:rPr>
        <w:t>个</w:t>
      </w:r>
      <w:r w:rsidRPr="00D10E08">
        <w:rPr>
          <w:rFonts w:hint="eastAsia"/>
        </w:rPr>
        <w:t>/ g</w:t>
      </w:r>
      <w:r w:rsidRPr="00D10E08">
        <w:rPr>
          <w:rFonts w:hint="eastAsia"/>
        </w:rPr>
        <w:t>，且符合</w:t>
      </w:r>
      <w:r w:rsidRPr="00D10E08">
        <w:rPr>
          <w:rFonts w:hint="eastAsia"/>
        </w:rPr>
        <w:t>4.3</w:t>
      </w:r>
      <w:r w:rsidRPr="00D10E08">
        <w:rPr>
          <w:rFonts w:hint="eastAsia"/>
        </w:rPr>
        <w:t>的分梳白山羊绒，其品质标识代号为“分梳山羊绒</w:t>
      </w:r>
      <w:r w:rsidRPr="00D10E08">
        <w:rPr>
          <w:rFonts w:hint="eastAsia"/>
        </w:rPr>
        <w:t>-W-L-B2232</w:t>
      </w:r>
      <w:r w:rsidRPr="00D10E08">
        <w:rPr>
          <w:rFonts w:hint="eastAsia"/>
        </w:rPr>
        <w:t>”具体表示：直径</w:t>
      </w:r>
      <w:r w:rsidRPr="00D10E08">
        <w:rPr>
          <w:rFonts w:hint="eastAsia"/>
        </w:rPr>
        <w:t>B</w:t>
      </w:r>
      <w:r w:rsidRPr="00D10E08">
        <w:rPr>
          <w:rFonts w:hint="eastAsia"/>
        </w:rPr>
        <w:t>型、长度</w:t>
      </w:r>
      <w:r w:rsidRPr="00D10E08">
        <w:rPr>
          <w:rFonts w:hint="eastAsia"/>
        </w:rPr>
        <w:t>2</w:t>
      </w:r>
      <w:r w:rsidRPr="00D10E08">
        <w:rPr>
          <w:rFonts w:hint="eastAsia"/>
        </w:rPr>
        <w:t>等、短绒率</w:t>
      </w:r>
      <w:r w:rsidRPr="00D10E08">
        <w:rPr>
          <w:rFonts w:hint="eastAsia"/>
        </w:rPr>
        <w:t>2</w:t>
      </w:r>
      <w:r w:rsidRPr="00D10E08">
        <w:rPr>
          <w:rFonts w:hint="eastAsia"/>
        </w:rPr>
        <w:t>等、含粗率</w:t>
      </w:r>
      <w:r w:rsidRPr="00D10E08">
        <w:rPr>
          <w:rFonts w:hint="eastAsia"/>
        </w:rPr>
        <w:t>3</w:t>
      </w:r>
      <w:r w:rsidRPr="00D10E08">
        <w:rPr>
          <w:rFonts w:hint="eastAsia"/>
        </w:rPr>
        <w:t>等、含杂率</w:t>
      </w:r>
      <w:r w:rsidRPr="00D10E08">
        <w:rPr>
          <w:rFonts w:hint="eastAsia"/>
        </w:rPr>
        <w:t>2</w:t>
      </w:r>
      <w:r w:rsidRPr="00D10E08">
        <w:rPr>
          <w:rFonts w:hint="eastAsia"/>
        </w:rPr>
        <w:t>等的分梳白山羊绒。</w:t>
      </w:r>
    </w:p>
    <w:p w:rsidR="00D10E08" w:rsidRDefault="00D10E08" w:rsidP="00D10E08">
      <w:pPr>
        <w:pStyle w:val="affc"/>
        <w:spacing w:before="240" w:after="240"/>
      </w:pPr>
      <w:r>
        <w:rPr>
          <w:rFonts w:hint="eastAsia"/>
        </w:rPr>
        <w:t>试验</w:t>
      </w:r>
      <w:r>
        <w:t>方法</w:t>
      </w:r>
    </w:p>
    <w:p w:rsidR="00D10E08" w:rsidRDefault="00D10E08" w:rsidP="00D10E08">
      <w:pPr>
        <w:pStyle w:val="affd"/>
        <w:spacing w:before="120" w:after="120"/>
      </w:pPr>
      <w:r>
        <w:rPr>
          <w:rFonts w:hint="eastAsia"/>
        </w:rPr>
        <w:t>调湿和试验用大气</w:t>
      </w:r>
    </w:p>
    <w:p w:rsidR="00D10E08" w:rsidRPr="00D10E08" w:rsidRDefault="00D10E08" w:rsidP="00D10E08">
      <w:pPr>
        <w:pStyle w:val="affffb"/>
        <w:ind w:firstLine="420"/>
      </w:pPr>
      <w:r w:rsidRPr="00D10E08">
        <w:rPr>
          <w:rFonts w:hint="eastAsia"/>
        </w:rPr>
        <w:t>按照</w:t>
      </w:r>
      <w:r w:rsidRPr="00D10E08">
        <w:rPr>
          <w:rFonts w:hint="eastAsia"/>
        </w:rPr>
        <w:t>GB/T 6529</w:t>
      </w:r>
      <w:r w:rsidRPr="00D10E08">
        <w:rPr>
          <w:rFonts w:hint="eastAsia"/>
        </w:rPr>
        <w:t>中规定的调湿和实验用标准大气条件开展相关试验。</w:t>
      </w:r>
    </w:p>
    <w:p w:rsidR="00D10E08" w:rsidRDefault="00D10E08" w:rsidP="00D10E08">
      <w:pPr>
        <w:pStyle w:val="affd"/>
        <w:spacing w:before="120" w:after="120"/>
      </w:pPr>
      <w:r>
        <w:rPr>
          <w:rFonts w:hint="eastAsia"/>
        </w:rPr>
        <w:t>纤维含量试验</w:t>
      </w:r>
    </w:p>
    <w:p w:rsidR="00D10E08" w:rsidRPr="00D10E08" w:rsidRDefault="00D10E08" w:rsidP="00D10E08">
      <w:pPr>
        <w:pStyle w:val="affffb"/>
        <w:ind w:firstLine="420"/>
      </w:pPr>
      <w:r w:rsidRPr="00D10E08">
        <w:rPr>
          <w:rFonts w:hint="eastAsia"/>
        </w:rPr>
        <w:t>纤维含量的测定按</w:t>
      </w:r>
      <w:r w:rsidRPr="00D10E08">
        <w:rPr>
          <w:rFonts w:hint="eastAsia"/>
        </w:rPr>
        <w:t>GB/T 40905.1</w:t>
      </w:r>
      <w:r w:rsidRPr="00D10E08">
        <w:rPr>
          <w:rFonts w:hint="eastAsia"/>
        </w:rPr>
        <w:t>或</w:t>
      </w:r>
      <w:r w:rsidRPr="00D10E08">
        <w:rPr>
          <w:rFonts w:hint="eastAsia"/>
        </w:rPr>
        <w:t>GB/T 40905.2</w:t>
      </w:r>
      <w:r w:rsidRPr="00D10E08">
        <w:rPr>
          <w:rFonts w:hint="eastAsia"/>
        </w:rPr>
        <w:t>的规定执行。</w:t>
      </w:r>
    </w:p>
    <w:p w:rsidR="00D10E08" w:rsidRDefault="00D10E08" w:rsidP="00D10E08">
      <w:pPr>
        <w:pStyle w:val="affd"/>
        <w:spacing w:before="120" w:after="120"/>
      </w:pPr>
      <w:r>
        <w:rPr>
          <w:rFonts w:hint="eastAsia"/>
        </w:rPr>
        <w:t>纤维平均直径试验</w:t>
      </w:r>
    </w:p>
    <w:p w:rsidR="00D10E08" w:rsidRDefault="00D10E08" w:rsidP="00D10E08">
      <w:pPr>
        <w:pStyle w:val="affffb"/>
        <w:ind w:firstLine="420"/>
      </w:pPr>
      <w:r w:rsidRPr="00D10E08">
        <w:rPr>
          <w:rFonts w:hint="eastAsia"/>
        </w:rPr>
        <w:t>纤维平均细度试验可按</w:t>
      </w:r>
      <w:r w:rsidRPr="00D10E08">
        <w:rPr>
          <w:rFonts w:hint="eastAsia"/>
        </w:rPr>
        <w:t>GB/T 10685</w:t>
      </w:r>
      <w:r w:rsidRPr="00D10E08">
        <w:rPr>
          <w:rFonts w:hint="eastAsia"/>
        </w:rPr>
        <w:t>、</w:t>
      </w:r>
      <w:r w:rsidRPr="00D10E08">
        <w:rPr>
          <w:rFonts w:hint="eastAsia"/>
        </w:rPr>
        <w:t>GB/T 35935</w:t>
      </w:r>
      <w:r w:rsidRPr="00D10E08">
        <w:rPr>
          <w:rFonts w:hint="eastAsia"/>
        </w:rPr>
        <w:t>、</w:t>
      </w:r>
      <w:r w:rsidRPr="00D10E08">
        <w:rPr>
          <w:rFonts w:hint="eastAsia"/>
        </w:rPr>
        <w:t>GB/T 21030</w:t>
      </w:r>
      <w:r w:rsidRPr="00D10E08">
        <w:rPr>
          <w:rFonts w:hint="eastAsia"/>
        </w:rPr>
        <w:t>三种方法中的任意一种规定执行。若对试验结果有异议，采用</w:t>
      </w:r>
      <w:r w:rsidRPr="00D10E08">
        <w:rPr>
          <w:rFonts w:hint="eastAsia"/>
        </w:rPr>
        <w:t>GB/T 10685</w:t>
      </w:r>
      <w:r w:rsidRPr="00D10E08">
        <w:rPr>
          <w:rFonts w:hint="eastAsia"/>
        </w:rPr>
        <w:t>作为仲裁法。</w:t>
      </w:r>
    </w:p>
    <w:p w:rsidR="00D10E08" w:rsidRDefault="00D10E08" w:rsidP="00D10E08">
      <w:pPr>
        <w:pStyle w:val="affd"/>
        <w:spacing w:before="120" w:after="120"/>
      </w:pPr>
      <w:r>
        <w:rPr>
          <w:rFonts w:hint="eastAsia"/>
        </w:rPr>
        <w:t>纤维</w:t>
      </w:r>
      <w:r>
        <w:t>平均长度及短绒率试验</w:t>
      </w:r>
    </w:p>
    <w:p w:rsidR="00D10E08" w:rsidRDefault="00D10E08" w:rsidP="00D10E08">
      <w:pPr>
        <w:pStyle w:val="affffb"/>
        <w:ind w:firstLine="420"/>
      </w:pPr>
      <w:r w:rsidRPr="00D10E08">
        <w:rPr>
          <w:rFonts w:hint="eastAsia"/>
        </w:rPr>
        <w:t>纤维平均长度及短绒率试验按</w:t>
      </w:r>
      <w:r w:rsidRPr="00D10E08">
        <w:rPr>
          <w:rFonts w:hint="eastAsia"/>
        </w:rPr>
        <w:t>GB 18267</w:t>
      </w:r>
      <w:r w:rsidRPr="00D10E08">
        <w:rPr>
          <w:rFonts w:hint="eastAsia"/>
        </w:rPr>
        <w:t>规定执行。</w:t>
      </w:r>
    </w:p>
    <w:p w:rsidR="00D10E08" w:rsidRDefault="00D10E08" w:rsidP="00D10E08">
      <w:pPr>
        <w:pStyle w:val="affd"/>
        <w:spacing w:before="120" w:after="120"/>
      </w:pPr>
      <w:r>
        <w:rPr>
          <w:rFonts w:hint="eastAsia"/>
        </w:rPr>
        <w:t>含杂率</w:t>
      </w:r>
      <w:r>
        <w:t>试验</w:t>
      </w:r>
    </w:p>
    <w:p w:rsidR="00D10E08" w:rsidRDefault="00D10E08" w:rsidP="00D10E08">
      <w:pPr>
        <w:pStyle w:val="affffb"/>
        <w:ind w:firstLine="420"/>
      </w:pPr>
      <w:r w:rsidRPr="00D10E08">
        <w:rPr>
          <w:rFonts w:hint="eastAsia"/>
        </w:rPr>
        <w:t>称取试样两份，每份</w:t>
      </w:r>
      <w:r w:rsidRPr="00D10E08">
        <w:rPr>
          <w:rFonts w:hint="eastAsia"/>
        </w:rPr>
        <w:t>1 g</w:t>
      </w:r>
      <w:r w:rsidRPr="00D10E08">
        <w:rPr>
          <w:rFonts w:hint="eastAsia"/>
        </w:rPr>
        <w:t>，精确至</w:t>
      </w:r>
      <w:r w:rsidRPr="00D10E08">
        <w:rPr>
          <w:rFonts w:hint="eastAsia"/>
        </w:rPr>
        <w:t>0.01 g</w:t>
      </w:r>
      <w:r w:rsidRPr="00D10E08">
        <w:rPr>
          <w:rFonts w:hint="eastAsia"/>
        </w:rPr>
        <w:t>。将试样置于与测绒颜色反差较大的台板上（或台式放大镜下），逐根目测将纤维上及试样掉落的每个肤皮屑和草刺等非纤维类杂质一一记数个数。每批试样含杂率以“</w:t>
      </w:r>
      <w:r w:rsidRPr="00D10E08">
        <w:rPr>
          <w:rFonts w:hint="eastAsia"/>
        </w:rPr>
        <w:t>xx</w:t>
      </w:r>
      <w:r w:rsidRPr="00D10E08">
        <w:rPr>
          <w:rFonts w:hint="eastAsia"/>
        </w:rPr>
        <w:t>个</w:t>
      </w:r>
      <w:r w:rsidRPr="00D10E08">
        <w:rPr>
          <w:rFonts w:hint="eastAsia"/>
        </w:rPr>
        <w:t>/ g</w:t>
      </w:r>
      <w:r w:rsidRPr="00D10E08">
        <w:rPr>
          <w:rFonts w:hint="eastAsia"/>
        </w:rPr>
        <w:t>”来表示。</w:t>
      </w:r>
    </w:p>
    <w:p w:rsidR="00D10E08" w:rsidRDefault="00D10E08" w:rsidP="00D10E08">
      <w:pPr>
        <w:pStyle w:val="affffb"/>
        <w:ind w:firstLine="420"/>
      </w:pPr>
      <w:r w:rsidRPr="00D10E08">
        <w:rPr>
          <w:rFonts w:hint="eastAsia"/>
        </w:rPr>
        <w:t>以两份试样含杂结果的平均值为最终结果，当两个试样的绝对差异超过</w:t>
      </w:r>
      <w:r w:rsidRPr="00D10E08">
        <w:rPr>
          <w:rFonts w:hint="eastAsia"/>
        </w:rPr>
        <w:t>10</w:t>
      </w:r>
      <w:r w:rsidRPr="00D10E08">
        <w:rPr>
          <w:rFonts w:hint="eastAsia"/>
        </w:rPr>
        <w:t>个</w:t>
      </w:r>
      <w:r w:rsidRPr="00D10E08">
        <w:rPr>
          <w:rFonts w:hint="eastAsia"/>
        </w:rPr>
        <w:t>/ g</w:t>
      </w:r>
      <w:r w:rsidRPr="00D10E08">
        <w:rPr>
          <w:rFonts w:hint="eastAsia"/>
        </w:rPr>
        <w:t>时，应增试第三份测试样，并以三份试样的平均值作为最终结果，计算结果修约为整数。</w:t>
      </w:r>
    </w:p>
    <w:p w:rsidR="00D10E08" w:rsidRDefault="00D10E08" w:rsidP="00D10E08">
      <w:pPr>
        <w:pStyle w:val="affd"/>
        <w:spacing w:before="120" w:after="120"/>
      </w:pPr>
      <w:r>
        <w:rPr>
          <w:rFonts w:hint="eastAsia"/>
        </w:rPr>
        <w:t>异色纤维试验</w:t>
      </w:r>
    </w:p>
    <w:p w:rsidR="00D10E08" w:rsidRDefault="00D10E08" w:rsidP="00D10E08">
      <w:pPr>
        <w:pStyle w:val="affffb"/>
        <w:ind w:firstLine="420"/>
      </w:pPr>
      <w:r w:rsidRPr="00D10E08">
        <w:rPr>
          <w:rFonts w:hint="eastAsia"/>
        </w:rPr>
        <w:t>称取试样两份，每份</w:t>
      </w:r>
      <w:r w:rsidRPr="00D10E08">
        <w:rPr>
          <w:rFonts w:hint="eastAsia"/>
        </w:rPr>
        <w:t>5 g</w:t>
      </w:r>
      <w:r w:rsidRPr="00D10E08">
        <w:rPr>
          <w:rFonts w:hint="eastAsia"/>
        </w:rPr>
        <w:t>，精确至</w:t>
      </w:r>
      <w:r w:rsidRPr="00D10E08">
        <w:rPr>
          <w:rFonts w:hint="eastAsia"/>
        </w:rPr>
        <w:t>0.01 g</w:t>
      </w:r>
      <w:r w:rsidRPr="00D10E08">
        <w:rPr>
          <w:rFonts w:hint="eastAsia"/>
        </w:rPr>
        <w:t>。将试样摊开在适宜的平板上，在不低于</w:t>
      </w:r>
      <w:r w:rsidRPr="00D10E08">
        <w:rPr>
          <w:rFonts w:hint="eastAsia"/>
        </w:rPr>
        <w:t>400 lx</w:t>
      </w:r>
      <w:r w:rsidRPr="00D10E08">
        <w:rPr>
          <w:rFonts w:hint="eastAsia"/>
        </w:rPr>
        <w:t>光照在</w:t>
      </w:r>
      <w:r w:rsidRPr="00D10E08">
        <w:rPr>
          <w:rFonts w:hint="eastAsia"/>
        </w:rPr>
        <w:t>5500</w:t>
      </w:r>
      <w:r w:rsidRPr="00D10E08">
        <w:rPr>
          <w:rFonts w:hint="eastAsia"/>
        </w:rPr>
        <w:t>～</w:t>
      </w:r>
      <w:r w:rsidRPr="00D10E08">
        <w:rPr>
          <w:rFonts w:hint="eastAsia"/>
        </w:rPr>
        <w:t>6500 oK</w:t>
      </w:r>
      <w:r w:rsidRPr="00D10E08">
        <w:rPr>
          <w:rFonts w:hint="eastAsia"/>
        </w:rPr>
        <w:t>光源条件下，用镊子将白山羊绒中长度在</w:t>
      </w:r>
      <w:r w:rsidRPr="00D10E08">
        <w:rPr>
          <w:rFonts w:hint="eastAsia"/>
        </w:rPr>
        <w:t>5 mm</w:t>
      </w:r>
      <w:r w:rsidRPr="00D10E08">
        <w:rPr>
          <w:rFonts w:hint="eastAsia"/>
        </w:rPr>
        <w:t>及以上的异色纤维检出，并纪录根数。每批试样异色纤维数量以“根</w:t>
      </w:r>
      <w:r w:rsidRPr="00D10E08">
        <w:rPr>
          <w:rFonts w:hint="eastAsia"/>
        </w:rPr>
        <w:t>/5 g</w:t>
      </w:r>
      <w:r w:rsidRPr="00D10E08">
        <w:rPr>
          <w:rFonts w:hint="eastAsia"/>
        </w:rPr>
        <w:t>”来表示。</w:t>
      </w:r>
    </w:p>
    <w:p w:rsidR="00D10E08" w:rsidRDefault="00D10E08" w:rsidP="00D10E08">
      <w:pPr>
        <w:pStyle w:val="affffb"/>
        <w:ind w:firstLine="420"/>
      </w:pPr>
      <w:r w:rsidRPr="00D10E08">
        <w:rPr>
          <w:rFonts w:hint="eastAsia"/>
        </w:rPr>
        <w:t>以两份试样的平均值作为试验结果，修约至整数。</w:t>
      </w:r>
    </w:p>
    <w:p w:rsidR="00D10E08" w:rsidRDefault="00D10E08" w:rsidP="00D10E08">
      <w:pPr>
        <w:pStyle w:val="affd"/>
        <w:spacing w:before="120" w:after="120"/>
      </w:pPr>
      <w:r>
        <w:rPr>
          <w:rFonts w:hint="eastAsia"/>
        </w:rPr>
        <w:t>损伤纤维率试验</w:t>
      </w:r>
    </w:p>
    <w:p w:rsidR="00D10E08" w:rsidRDefault="00D10E08" w:rsidP="00D10E08">
      <w:pPr>
        <w:pStyle w:val="affffb"/>
        <w:ind w:firstLine="420"/>
      </w:pPr>
      <w:r w:rsidRPr="00D10E08">
        <w:rPr>
          <w:rFonts w:hint="eastAsia"/>
        </w:rPr>
        <w:lastRenderedPageBreak/>
        <w:t>按照</w:t>
      </w:r>
      <w:r w:rsidRPr="00D10E08">
        <w:rPr>
          <w:rFonts w:hint="eastAsia"/>
        </w:rPr>
        <w:t>GB/T 40905.1</w:t>
      </w:r>
      <w:r w:rsidRPr="00D10E08">
        <w:rPr>
          <w:rFonts w:hint="eastAsia"/>
        </w:rPr>
        <w:t>中规定制备试样，在放大倍数</w:t>
      </w:r>
      <w:r w:rsidRPr="00D10E08">
        <w:rPr>
          <w:rFonts w:hint="eastAsia"/>
        </w:rPr>
        <w:t>500</w:t>
      </w:r>
      <w:r w:rsidRPr="00D10E08">
        <w:rPr>
          <w:rFonts w:hint="eastAsia"/>
        </w:rPr>
        <w:t>倍的光学显微镜下观察至少</w:t>
      </w:r>
      <w:r w:rsidRPr="00D10E08">
        <w:rPr>
          <w:rFonts w:hint="eastAsia"/>
        </w:rPr>
        <w:t>1000</w:t>
      </w:r>
      <w:r w:rsidRPr="00D10E08">
        <w:rPr>
          <w:rFonts w:hint="eastAsia"/>
        </w:rPr>
        <w:t>根纤维，对比附录</w:t>
      </w:r>
      <w:r w:rsidRPr="00D10E08">
        <w:rPr>
          <w:rFonts w:hint="eastAsia"/>
        </w:rPr>
        <w:t>A</w:t>
      </w:r>
      <w:r w:rsidRPr="00D10E08">
        <w:rPr>
          <w:rFonts w:hint="eastAsia"/>
        </w:rPr>
        <w:t>中的“损伤纤维”图片</w:t>
      </w:r>
      <w:r w:rsidRPr="00D10E08">
        <w:rPr>
          <w:rFonts w:hint="eastAsia"/>
        </w:rPr>
        <w:t>,</w:t>
      </w:r>
      <w:r w:rsidRPr="00D10E08">
        <w:rPr>
          <w:rFonts w:hint="eastAsia"/>
        </w:rPr>
        <w:t>判定纤维是否为损伤纤维。记录损伤纤维的根数，并计算损伤的根数占观察总根数的百分数。</w:t>
      </w:r>
    </w:p>
    <w:p w:rsidR="00D10E08" w:rsidRDefault="00D10E08" w:rsidP="00D10E08">
      <w:pPr>
        <w:pStyle w:val="affd"/>
        <w:spacing w:before="120" w:after="120"/>
      </w:pPr>
      <w:r>
        <w:rPr>
          <w:rFonts w:hint="eastAsia"/>
        </w:rPr>
        <w:t>其他</w:t>
      </w:r>
      <w:r>
        <w:t>纤维含量试验</w:t>
      </w:r>
    </w:p>
    <w:p w:rsidR="00D10E08" w:rsidRDefault="00D10E08" w:rsidP="00D10E08">
      <w:pPr>
        <w:pStyle w:val="affffb"/>
        <w:ind w:firstLine="420"/>
      </w:pPr>
      <w:r w:rsidRPr="00D10E08">
        <w:rPr>
          <w:rFonts w:hint="eastAsia"/>
        </w:rPr>
        <w:t>其他动物纤维含量的测定按</w:t>
      </w:r>
      <w:r w:rsidRPr="00D10E08">
        <w:rPr>
          <w:rFonts w:hint="eastAsia"/>
        </w:rPr>
        <w:t>GB/T 40905.1</w:t>
      </w:r>
      <w:r w:rsidRPr="00D10E08">
        <w:rPr>
          <w:rFonts w:hint="eastAsia"/>
        </w:rPr>
        <w:t>或</w:t>
      </w:r>
      <w:r w:rsidRPr="00D10E08">
        <w:rPr>
          <w:rFonts w:hint="eastAsia"/>
        </w:rPr>
        <w:t>GB/T 40905.2</w:t>
      </w:r>
      <w:r w:rsidRPr="00D10E08">
        <w:rPr>
          <w:rFonts w:hint="eastAsia"/>
        </w:rPr>
        <w:t>的规定执行；非动物纤维含量的测定按</w:t>
      </w:r>
      <w:r w:rsidRPr="00D10E08">
        <w:rPr>
          <w:rFonts w:hint="eastAsia"/>
        </w:rPr>
        <w:t xml:space="preserve"> GB/T 2910</w:t>
      </w:r>
      <w:r w:rsidRPr="00D10E08">
        <w:rPr>
          <w:rFonts w:hint="eastAsia"/>
        </w:rPr>
        <w:t>或</w:t>
      </w:r>
      <w:r w:rsidRPr="00D10E08">
        <w:rPr>
          <w:rFonts w:hint="eastAsia"/>
        </w:rPr>
        <w:t>GB/T 6977</w:t>
      </w:r>
      <w:r w:rsidRPr="00D10E08">
        <w:rPr>
          <w:rFonts w:hint="eastAsia"/>
        </w:rPr>
        <w:t>的规定执行。</w:t>
      </w:r>
    </w:p>
    <w:p w:rsidR="00D10E08" w:rsidRDefault="001D273F" w:rsidP="00D10E08">
      <w:pPr>
        <w:pStyle w:val="affd"/>
        <w:spacing w:before="120" w:after="120"/>
      </w:pPr>
      <w:r>
        <w:rPr>
          <w:rFonts w:hint="eastAsia"/>
        </w:rPr>
        <w:t>回潮率</w:t>
      </w:r>
      <w:r>
        <w:t>试验</w:t>
      </w:r>
    </w:p>
    <w:p w:rsidR="001D273F" w:rsidRDefault="001D273F" w:rsidP="001D273F">
      <w:pPr>
        <w:pStyle w:val="affffb"/>
        <w:ind w:firstLine="420"/>
      </w:pPr>
      <w:r w:rsidRPr="001D273F">
        <w:rPr>
          <w:rFonts w:hint="eastAsia"/>
        </w:rPr>
        <w:t>回潮率试验按照</w:t>
      </w:r>
      <w:r w:rsidRPr="001D273F">
        <w:rPr>
          <w:rFonts w:hint="eastAsia"/>
        </w:rPr>
        <w:t>GB/T 6500</w:t>
      </w:r>
      <w:r w:rsidRPr="001D273F">
        <w:rPr>
          <w:rFonts w:hint="eastAsia"/>
        </w:rPr>
        <w:t>规定执行。</w:t>
      </w:r>
    </w:p>
    <w:p w:rsidR="001D273F" w:rsidRDefault="001D273F" w:rsidP="001D273F">
      <w:pPr>
        <w:pStyle w:val="affd"/>
        <w:spacing w:before="120" w:after="120"/>
      </w:pPr>
      <w:r>
        <w:rPr>
          <w:rFonts w:hint="eastAsia"/>
        </w:rPr>
        <w:t>油脂率</w:t>
      </w:r>
      <w:r>
        <w:t>试验</w:t>
      </w:r>
    </w:p>
    <w:p w:rsidR="001D273F" w:rsidRDefault="001D273F" w:rsidP="001D273F">
      <w:pPr>
        <w:pStyle w:val="affffb"/>
        <w:ind w:firstLine="420"/>
      </w:pPr>
      <w:r w:rsidRPr="001D273F">
        <w:rPr>
          <w:rFonts w:hint="eastAsia"/>
        </w:rPr>
        <w:t>含油脂率试验按照</w:t>
      </w:r>
      <w:r w:rsidRPr="001D273F">
        <w:rPr>
          <w:rFonts w:hint="eastAsia"/>
        </w:rPr>
        <w:t>FZ/T 20018</w:t>
      </w:r>
      <w:r w:rsidRPr="001D273F">
        <w:rPr>
          <w:rFonts w:hint="eastAsia"/>
        </w:rPr>
        <w:t>规定执行。</w:t>
      </w:r>
    </w:p>
    <w:p w:rsidR="001D273F" w:rsidRDefault="001D273F" w:rsidP="001D273F">
      <w:pPr>
        <w:pStyle w:val="affd"/>
        <w:spacing w:before="120" w:after="120"/>
      </w:pPr>
      <w:r>
        <w:t>p</w:t>
      </w:r>
      <w:r>
        <w:rPr>
          <w:rFonts w:hint="eastAsia"/>
        </w:rPr>
        <w:t>H值</w:t>
      </w:r>
      <w:r>
        <w:t>试验</w:t>
      </w:r>
    </w:p>
    <w:p w:rsidR="001D273F" w:rsidRPr="001D273F" w:rsidRDefault="001D273F" w:rsidP="001D273F">
      <w:pPr>
        <w:pStyle w:val="affffb"/>
        <w:ind w:firstLine="420"/>
      </w:pPr>
      <w:r w:rsidRPr="001D273F">
        <w:rPr>
          <w:rFonts w:hint="eastAsia"/>
        </w:rPr>
        <w:t>pH</w:t>
      </w:r>
      <w:r w:rsidRPr="001D273F">
        <w:rPr>
          <w:rFonts w:hint="eastAsia"/>
        </w:rPr>
        <w:t>值试验按照</w:t>
      </w:r>
      <w:r w:rsidRPr="001D273F">
        <w:rPr>
          <w:rFonts w:hint="eastAsia"/>
        </w:rPr>
        <w:t>GB/T 7573</w:t>
      </w:r>
      <w:r w:rsidRPr="001D273F">
        <w:rPr>
          <w:rFonts w:hint="eastAsia"/>
        </w:rPr>
        <w:t>规定执行。</w:t>
      </w:r>
    </w:p>
    <w:p w:rsidR="00D10E08" w:rsidRDefault="001D273F" w:rsidP="001D273F">
      <w:pPr>
        <w:pStyle w:val="affd"/>
        <w:spacing w:before="120" w:after="120"/>
      </w:pPr>
      <w:r>
        <w:rPr>
          <w:rFonts w:hint="eastAsia"/>
        </w:rPr>
        <w:t>残余</w:t>
      </w:r>
      <w:r>
        <w:t>表面活性剂</w:t>
      </w:r>
      <w:r>
        <w:rPr>
          <w:rFonts w:hint="eastAsia"/>
        </w:rPr>
        <w:t>APEO试验</w:t>
      </w:r>
    </w:p>
    <w:p w:rsidR="001D273F" w:rsidRDefault="001D273F" w:rsidP="001D273F">
      <w:pPr>
        <w:pStyle w:val="affffb"/>
        <w:ind w:firstLine="420"/>
      </w:pPr>
      <w:r w:rsidRPr="001D273F">
        <w:rPr>
          <w:rFonts w:hint="eastAsia"/>
        </w:rPr>
        <w:t>残余表面活性剂</w:t>
      </w:r>
      <w:r w:rsidRPr="001D273F">
        <w:rPr>
          <w:rFonts w:hint="eastAsia"/>
        </w:rPr>
        <w:t>APEO</w:t>
      </w:r>
      <w:r w:rsidRPr="001D273F">
        <w:rPr>
          <w:rFonts w:hint="eastAsia"/>
        </w:rPr>
        <w:t>试验按照</w:t>
      </w:r>
      <w:r w:rsidRPr="001D273F">
        <w:rPr>
          <w:rFonts w:hint="eastAsia"/>
        </w:rPr>
        <w:t>GB/T 23322</w:t>
      </w:r>
      <w:r w:rsidRPr="001D273F">
        <w:rPr>
          <w:rFonts w:hint="eastAsia"/>
        </w:rPr>
        <w:t>规定执行。</w:t>
      </w:r>
    </w:p>
    <w:p w:rsidR="001D273F" w:rsidRDefault="001D273F" w:rsidP="001D273F">
      <w:pPr>
        <w:pStyle w:val="affc"/>
        <w:spacing w:before="240" w:after="240"/>
      </w:pPr>
      <w:r>
        <w:rPr>
          <w:rFonts w:hint="eastAsia"/>
        </w:rPr>
        <w:t>检验</w:t>
      </w:r>
      <w:r>
        <w:t>规则</w:t>
      </w:r>
    </w:p>
    <w:p w:rsidR="001D273F" w:rsidRDefault="001D273F" w:rsidP="001D273F">
      <w:pPr>
        <w:pStyle w:val="affd"/>
        <w:spacing w:before="120" w:after="120"/>
      </w:pPr>
      <w:r>
        <w:rPr>
          <w:rFonts w:hint="eastAsia"/>
        </w:rPr>
        <w:t>取样</w:t>
      </w:r>
    </w:p>
    <w:p w:rsidR="001D273F" w:rsidRDefault="001D273F" w:rsidP="001D273F">
      <w:pPr>
        <w:pStyle w:val="affe"/>
        <w:spacing w:before="120" w:after="120"/>
      </w:pPr>
      <w:r>
        <w:rPr>
          <w:rFonts w:hint="eastAsia"/>
        </w:rPr>
        <w:t>试样</w:t>
      </w:r>
      <w:r>
        <w:t>抽取比例及数量</w:t>
      </w:r>
    </w:p>
    <w:p w:rsidR="001D273F" w:rsidRDefault="001D273F" w:rsidP="001D273F">
      <w:pPr>
        <w:pStyle w:val="affffb"/>
        <w:ind w:firstLine="420"/>
      </w:pPr>
      <w:r w:rsidRPr="001D273F">
        <w:rPr>
          <w:rFonts w:hint="eastAsia"/>
        </w:rPr>
        <w:t>10</w:t>
      </w:r>
      <w:r w:rsidRPr="001D273F">
        <w:rPr>
          <w:rFonts w:hint="eastAsia"/>
        </w:rPr>
        <w:t>包及以下按</w:t>
      </w:r>
      <w:r w:rsidRPr="001D273F">
        <w:rPr>
          <w:rFonts w:hint="eastAsia"/>
        </w:rPr>
        <w:t>30 %</w:t>
      </w:r>
      <w:r w:rsidRPr="001D273F">
        <w:rPr>
          <w:rFonts w:hint="eastAsia"/>
        </w:rPr>
        <w:t>抽取，不足一包按一包取；</w:t>
      </w:r>
      <w:r w:rsidRPr="001D273F">
        <w:rPr>
          <w:rFonts w:hint="eastAsia"/>
        </w:rPr>
        <w:t>10</w:t>
      </w:r>
      <w:r w:rsidRPr="001D273F">
        <w:rPr>
          <w:rFonts w:hint="eastAsia"/>
        </w:rPr>
        <w:t>包以上增加部分按</w:t>
      </w:r>
      <w:r w:rsidRPr="001D273F">
        <w:rPr>
          <w:rFonts w:hint="eastAsia"/>
        </w:rPr>
        <w:t>20 %</w:t>
      </w:r>
      <w:r w:rsidRPr="001D273F">
        <w:rPr>
          <w:rFonts w:hint="eastAsia"/>
        </w:rPr>
        <w:t>抽取；</w:t>
      </w:r>
      <w:r w:rsidRPr="001D273F">
        <w:rPr>
          <w:rFonts w:hint="eastAsia"/>
        </w:rPr>
        <w:t>20</w:t>
      </w:r>
      <w:r w:rsidRPr="001D273F">
        <w:rPr>
          <w:rFonts w:hint="eastAsia"/>
        </w:rPr>
        <w:t>包以上增加部分按照</w:t>
      </w:r>
      <w:r w:rsidRPr="001D273F">
        <w:rPr>
          <w:rFonts w:hint="eastAsia"/>
        </w:rPr>
        <w:t>30 %</w:t>
      </w:r>
      <w:r w:rsidRPr="001D273F">
        <w:rPr>
          <w:rFonts w:hint="eastAsia"/>
        </w:rPr>
        <w:t>抽取，不足一包按一包计。品质样品的总质量不少于</w:t>
      </w:r>
      <w:r w:rsidRPr="001D273F">
        <w:rPr>
          <w:rFonts w:hint="eastAsia"/>
        </w:rPr>
        <w:t>300 g</w:t>
      </w:r>
      <w:r w:rsidRPr="001D273F">
        <w:rPr>
          <w:rFonts w:hint="eastAsia"/>
        </w:rPr>
        <w:t>；回潮率批样抽样比例同上，试样总质量不少于</w:t>
      </w:r>
      <w:r w:rsidRPr="001D273F">
        <w:rPr>
          <w:rFonts w:hint="eastAsia"/>
        </w:rPr>
        <w:t>400 g</w:t>
      </w:r>
      <w:r w:rsidRPr="001D273F">
        <w:rPr>
          <w:rFonts w:hint="eastAsia"/>
        </w:rPr>
        <w:t>。</w:t>
      </w:r>
    </w:p>
    <w:p w:rsidR="001D273F" w:rsidRDefault="001D273F" w:rsidP="001D273F">
      <w:pPr>
        <w:pStyle w:val="affe"/>
        <w:spacing w:before="120" w:after="120"/>
      </w:pPr>
      <w:r>
        <w:rPr>
          <w:rFonts w:hint="eastAsia"/>
        </w:rPr>
        <w:t>抽样</w:t>
      </w:r>
    </w:p>
    <w:p w:rsidR="001D273F" w:rsidRDefault="001D273F" w:rsidP="001D273F">
      <w:pPr>
        <w:pStyle w:val="affffb"/>
        <w:ind w:firstLine="420"/>
      </w:pPr>
      <w:r w:rsidRPr="001D273F">
        <w:rPr>
          <w:rFonts w:hint="eastAsia"/>
        </w:rPr>
        <w:t>将以上抽取批样平铺在试验台上进行充分混合，用对分法分成两等份，一份为实验室样品，一份留作备样。</w:t>
      </w:r>
    </w:p>
    <w:p w:rsidR="001D273F" w:rsidRDefault="001D273F" w:rsidP="001D273F">
      <w:pPr>
        <w:pStyle w:val="affe"/>
        <w:spacing w:before="120" w:after="120"/>
      </w:pPr>
      <w:r>
        <w:rPr>
          <w:rFonts w:hint="eastAsia"/>
        </w:rPr>
        <w:t>制样</w:t>
      </w:r>
    </w:p>
    <w:p w:rsidR="001D273F" w:rsidRDefault="001D273F" w:rsidP="001D273F">
      <w:pPr>
        <w:pStyle w:val="affffb"/>
        <w:ind w:firstLine="420"/>
      </w:pPr>
      <w:r w:rsidRPr="001D273F">
        <w:rPr>
          <w:rFonts w:hint="eastAsia"/>
        </w:rPr>
        <w:t>将以上抽取批样平铺在试验台上进行充分混合，用对分法分成两等份，一份为实验室样品，一份留作备样。</w:t>
      </w:r>
    </w:p>
    <w:p w:rsidR="001D273F" w:rsidRDefault="001D273F" w:rsidP="001D273F">
      <w:pPr>
        <w:pStyle w:val="affd"/>
        <w:spacing w:before="120" w:after="120"/>
      </w:pPr>
      <w:r>
        <w:rPr>
          <w:rFonts w:hint="eastAsia"/>
        </w:rPr>
        <w:t>验收</w:t>
      </w:r>
    </w:p>
    <w:p w:rsidR="001D273F" w:rsidRDefault="001D273F" w:rsidP="001D273F">
      <w:pPr>
        <w:pStyle w:val="affe"/>
        <w:spacing w:before="120" w:after="120"/>
      </w:pPr>
      <w:r w:rsidRPr="001D273F">
        <w:rPr>
          <w:rFonts w:hint="eastAsia"/>
        </w:rPr>
        <w:t>检验以批为基础进行，批号由供方自定或供需双方协商确定，产品以批评定。</w:t>
      </w:r>
    </w:p>
    <w:p w:rsidR="001D273F" w:rsidRDefault="001D273F" w:rsidP="001D273F">
      <w:pPr>
        <w:pStyle w:val="affe"/>
        <w:spacing w:before="120" w:after="120"/>
      </w:pPr>
      <w:r w:rsidRPr="001D273F">
        <w:rPr>
          <w:rFonts w:hint="eastAsia"/>
        </w:rPr>
        <w:t>每批分梳山羊绒符合4.3要求并按照4.2表1的型号，以此代码进行品质标识。</w:t>
      </w:r>
    </w:p>
    <w:p w:rsidR="001D273F" w:rsidRDefault="001D273F" w:rsidP="001D273F">
      <w:pPr>
        <w:pStyle w:val="affe"/>
        <w:spacing w:before="120" w:after="120"/>
      </w:pPr>
      <w:r w:rsidRPr="001D273F">
        <w:rPr>
          <w:rFonts w:hint="eastAsia"/>
        </w:rPr>
        <w:t>验收重量以公定重量规定或按供需双方协议执行。</w:t>
      </w:r>
    </w:p>
    <w:p w:rsidR="001D273F" w:rsidRDefault="001D273F" w:rsidP="001D273F">
      <w:pPr>
        <w:pStyle w:val="affe"/>
        <w:spacing w:before="120" w:after="120"/>
      </w:pPr>
      <w:r w:rsidRPr="001D273F">
        <w:rPr>
          <w:rFonts w:hint="eastAsia"/>
        </w:rPr>
        <w:t>任何一方对检验结果异议时，可提请双方同意的第三方仲裁检验机构，按照本标准的规定取样复验，复验结果为最终结果。</w:t>
      </w:r>
    </w:p>
    <w:p w:rsidR="001D273F" w:rsidRDefault="001D273F" w:rsidP="001D273F">
      <w:pPr>
        <w:pStyle w:val="affe"/>
        <w:spacing w:before="120" w:after="120"/>
      </w:pPr>
      <w:r w:rsidRPr="001D273F">
        <w:rPr>
          <w:rFonts w:hint="eastAsia"/>
        </w:rPr>
        <w:t>验收时发现产品品质或数量不符合成品检验报告单时，应在货到一个月内向供方提出复验。超出一个月，按照双方协议处理。</w:t>
      </w:r>
    </w:p>
    <w:p w:rsidR="001D273F" w:rsidRDefault="001D273F" w:rsidP="001D273F">
      <w:pPr>
        <w:pStyle w:val="affc"/>
        <w:spacing w:before="240" w:after="240"/>
      </w:pPr>
      <w:r>
        <w:rPr>
          <w:rFonts w:hint="eastAsia"/>
        </w:rPr>
        <w:t>试验</w:t>
      </w:r>
      <w:r>
        <w:t>报告</w:t>
      </w:r>
    </w:p>
    <w:p w:rsidR="001D273F" w:rsidRDefault="001D273F" w:rsidP="001D273F">
      <w:pPr>
        <w:pStyle w:val="affd"/>
        <w:spacing w:before="120" w:after="120"/>
      </w:pPr>
      <w:r w:rsidRPr="001D273F">
        <w:rPr>
          <w:rFonts w:hint="eastAsia"/>
        </w:rPr>
        <w:t>本标准的编号。</w:t>
      </w:r>
    </w:p>
    <w:p w:rsidR="001D273F" w:rsidRDefault="001D273F" w:rsidP="001D273F">
      <w:pPr>
        <w:pStyle w:val="affd"/>
        <w:spacing w:before="120" w:after="120"/>
      </w:pPr>
      <w:r w:rsidRPr="001D273F">
        <w:rPr>
          <w:rFonts w:hint="eastAsia"/>
        </w:rPr>
        <w:lastRenderedPageBreak/>
        <w:t>各项指标的试验结果及采用标准。</w:t>
      </w:r>
    </w:p>
    <w:p w:rsidR="001D273F" w:rsidRDefault="001D273F" w:rsidP="001D273F">
      <w:pPr>
        <w:pStyle w:val="affd"/>
        <w:spacing w:before="120" w:after="120"/>
      </w:pPr>
      <w:r w:rsidRPr="001D273F">
        <w:rPr>
          <w:rFonts w:hint="eastAsia"/>
        </w:rPr>
        <w:t>每批分梳山羊绒的品质标识代码。</w:t>
      </w:r>
    </w:p>
    <w:p w:rsidR="001D273F" w:rsidRDefault="001D273F" w:rsidP="001D273F">
      <w:pPr>
        <w:pStyle w:val="affd"/>
        <w:spacing w:before="120" w:after="120"/>
      </w:pPr>
      <w:r w:rsidRPr="001D273F">
        <w:rPr>
          <w:rFonts w:hint="eastAsia"/>
        </w:rPr>
        <w:t>试验环境温湿度。</w:t>
      </w:r>
    </w:p>
    <w:p w:rsidR="001D273F" w:rsidRDefault="001D273F" w:rsidP="001D273F">
      <w:pPr>
        <w:pStyle w:val="affd"/>
        <w:spacing w:before="120" w:after="120"/>
      </w:pPr>
      <w:r w:rsidRPr="001D273F">
        <w:rPr>
          <w:rFonts w:hint="eastAsia"/>
        </w:rPr>
        <w:t>实验设备及型号。</w:t>
      </w:r>
    </w:p>
    <w:p w:rsidR="001D273F" w:rsidRDefault="001D273F" w:rsidP="001D273F">
      <w:pPr>
        <w:pStyle w:val="affd"/>
        <w:spacing w:before="120" w:after="120"/>
      </w:pPr>
      <w:r w:rsidRPr="001D273F">
        <w:rPr>
          <w:rFonts w:hint="eastAsia"/>
        </w:rPr>
        <w:t>任何对结果有影响的因素。</w:t>
      </w:r>
    </w:p>
    <w:p w:rsidR="001D273F" w:rsidRDefault="001D273F" w:rsidP="001D273F">
      <w:pPr>
        <w:pStyle w:val="affd"/>
        <w:spacing w:before="120" w:after="120"/>
      </w:pPr>
      <w:r w:rsidRPr="001D273F">
        <w:rPr>
          <w:rFonts w:hint="eastAsia"/>
        </w:rPr>
        <w:t>试验日期。</w:t>
      </w:r>
    </w:p>
    <w:p w:rsidR="001D273F" w:rsidRDefault="001D273F" w:rsidP="001D273F">
      <w:pPr>
        <w:pStyle w:val="affd"/>
        <w:spacing w:before="120" w:after="120"/>
      </w:pPr>
      <w:r w:rsidRPr="001D273F">
        <w:rPr>
          <w:rFonts w:hint="eastAsia"/>
        </w:rPr>
        <w:t>试验人员。</w:t>
      </w:r>
    </w:p>
    <w:p w:rsidR="001D273F" w:rsidRDefault="001D273F" w:rsidP="001D273F">
      <w:pPr>
        <w:pStyle w:val="affc"/>
        <w:spacing w:before="240" w:after="240"/>
      </w:pPr>
      <w:r>
        <w:rPr>
          <w:rFonts w:hint="eastAsia"/>
        </w:rPr>
        <w:t>包装</w:t>
      </w:r>
      <w:r>
        <w:t>、标志、运输、储存</w:t>
      </w:r>
    </w:p>
    <w:p w:rsidR="001D273F" w:rsidRDefault="001D273F" w:rsidP="001D273F">
      <w:pPr>
        <w:pStyle w:val="affd"/>
        <w:spacing w:before="120" w:after="120"/>
      </w:pPr>
      <w:r>
        <w:rPr>
          <w:rFonts w:hint="eastAsia"/>
        </w:rPr>
        <w:t>包装</w:t>
      </w:r>
    </w:p>
    <w:p w:rsidR="001D273F" w:rsidRDefault="001D273F" w:rsidP="001D273F">
      <w:pPr>
        <w:pStyle w:val="affe"/>
        <w:spacing w:before="120" w:after="120"/>
      </w:pPr>
      <w:r w:rsidRPr="001D273F">
        <w:rPr>
          <w:rFonts w:hint="eastAsia"/>
        </w:rPr>
        <w:t>分梳山羊绒</w:t>
      </w:r>
      <w:proofErr w:type="gramStart"/>
      <w:r w:rsidRPr="001D273F">
        <w:rPr>
          <w:rFonts w:hint="eastAsia"/>
        </w:rPr>
        <w:t>采用定重包装</w:t>
      </w:r>
      <w:proofErr w:type="gramEnd"/>
      <w:r w:rsidRPr="001D273F">
        <w:rPr>
          <w:rFonts w:hint="eastAsia"/>
        </w:rPr>
        <w:t>，每个包装的质量根据协议或合同规定执行。</w:t>
      </w:r>
    </w:p>
    <w:p w:rsidR="001D273F" w:rsidRDefault="001D273F" w:rsidP="001D273F">
      <w:pPr>
        <w:pStyle w:val="affe"/>
        <w:spacing w:before="120" w:after="120"/>
      </w:pPr>
      <w:r w:rsidRPr="001D273F">
        <w:rPr>
          <w:rFonts w:hint="eastAsia"/>
        </w:rPr>
        <w:t>应选用适宜的包装材料以避免二次污染，宜避免使用合成纤维或其他非动物纤维的包装材料。</w:t>
      </w:r>
    </w:p>
    <w:p w:rsidR="001D273F" w:rsidRDefault="001D273F" w:rsidP="001D273F">
      <w:pPr>
        <w:pStyle w:val="affe"/>
        <w:spacing w:before="120" w:after="120"/>
      </w:pPr>
      <w:r w:rsidRPr="001D273F">
        <w:rPr>
          <w:rFonts w:hint="eastAsia"/>
        </w:rPr>
        <w:t>运中分梳山羊绒的包装完整，</w:t>
      </w:r>
      <w:proofErr w:type="gramStart"/>
      <w:r w:rsidRPr="001D273F">
        <w:rPr>
          <w:rFonts w:hint="eastAsia"/>
        </w:rPr>
        <w:t>不</w:t>
      </w:r>
      <w:proofErr w:type="gramEnd"/>
      <w:r w:rsidRPr="001D273F">
        <w:rPr>
          <w:rFonts w:hint="eastAsia"/>
        </w:rPr>
        <w:t>破损，产品</w:t>
      </w:r>
      <w:proofErr w:type="gramStart"/>
      <w:r w:rsidRPr="001D273F">
        <w:rPr>
          <w:rFonts w:hint="eastAsia"/>
        </w:rPr>
        <w:t>不沾污</w:t>
      </w:r>
      <w:proofErr w:type="gramEnd"/>
      <w:r w:rsidRPr="001D273F">
        <w:rPr>
          <w:rFonts w:hint="eastAsia"/>
        </w:rPr>
        <w:t>、</w:t>
      </w:r>
      <w:proofErr w:type="gramStart"/>
      <w:r w:rsidRPr="001D273F">
        <w:rPr>
          <w:rFonts w:hint="eastAsia"/>
        </w:rPr>
        <w:t>不</w:t>
      </w:r>
      <w:proofErr w:type="gramEnd"/>
      <w:r w:rsidRPr="001D273F">
        <w:rPr>
          <w:rFonts w:hint="eastAsia"/>
        </w:rPr>
        <w:t>受潮，并便于储存和运输。</w:t>
      </w:r>
    </w:p>
    <w:p w:rsidR="001D273F" w:rsidRDefault="001D273F" w:rsidP="001D273F">
      <w:pPr>
        <w:pStyle w:val="affd"/>
        <w:spacing w:before="120" w:after="120"/>
      </w:pPr>
      <w:r>
        <w:rPr>
          <w:rFonts w:hint="eastAsia"/>
        </w:rPr>
        <w:t>标志</w:t>
      </w:r>
    </w:p>
    <w:p w:rsidR="001D273F" w:rsidRDefault="001D273F" w:rsidP="001D273F">
      <w:pPr>
        <w:pStyle w:val="affe"/>
        <w:spacing w:before="120" w:after="120"/>
      </w:pPr>
      <w:r w:rsidRPr="001D273F">
        <w:rPr>
          <w:rFonts w:hint="eastAsia"/>
        </w:rPr>
        <w:t>商标、品名、规格、批号、包号、生产日期。</w:t>
      </w:r>
    </w:p>
    <w:p w:rsidR="001D273F" w:rsidRDefault="001D273F" w:rsidP="001D273F">
      <w:pPr>
        <w:pStyle w:val="affe"/>
        <w:spacing w:before="120" w:after="120"/>
      </w:pPr>
      <w:r w:rsidRPr="001D273F">
        <w:rPr>
          <w:rFonts w:hint="eastAsia"/>
        </w:rPr>
        <w:t>标准编号、品质标识代码。</w:t>
      </w:r>
    </w:p>
    <w:p w:rsidR="001D273F" w:rsidRDefault="001D273F" w:rsidP="001D273F">
      <w:pPr>
        <w:pStyle w:val="affe"/>
        <w:spacing w:before="120" w:after="120"/>
      </w:pPr>
      <w:r w:rsidRPr="001D273F">
        <w:rPr>
          <w:rFonts w:hint="eastAsia"/>
        </w:rPr>
        <w:t>毛重、净重。</w:t>
      </w:r>
    </w:p>
    <w:p w:rsidR="001D273F" w:rsidRDefault="001D273F" w:rsidP="001D273F">
      <w:pPr>
        <w:pStyle w:val="affe"/>
        <w:spacing w:before="120" w:after="120"/>
      </w:pPr>
      <w:r w:rsidRPr="001D273F">
        <w:rPr>
          <w:rFonts w:hint="eastAsia"/>
        </w:rPr>
        <w:t>供应者的名称和地址。</w:t>
      </w:r>
    </w:p>
    <w:p w:rsidR="001D273F" w:rsidRDefault="001D273F" w:rsidP="001D273F">
      <w:pPr>
        <w:pStyle w:val="affd"/>
        <w:spacing w:before="120" w:after="120"/>
      </w:pPr>
      <w:r>
        <w:rPr>
          <w:rFonts w:hint="eastAsia"/>
        </w:rPr>
        <w:t>运输</w:t>
      </w:r>
    </w:p>
    <w:p w:rsidR="001D273F" w:rsidRDefault="001D273F" w:rsidP="001D273F">
      <w:pPr>
        <w:pStyle w:val="affe"/>
        <w:spacing w:before="120" w:after="120"/>
      </w:pPr>
      <w:r w:rsidRPr="001D273F">
        <w:rPr>
          <w:rFonts w:hint="eastAsia"/>
        </w:rPr>
        <w:t>运输工具应具备洁净、防腐、防潮、防包装破裂损伤的条件。</w:t>
      </w:r>
    </w:p>
    <w:p w:rsidR="001D273F" w:rsidRDefault="001D273F" w:rsidP="001D273F">
      <w:pPr>
        <w:pStyle w:val="affe"/>
        <w:spacing w:before="120" w:after="120"/>
      </w:pPr>
      <w:r w:rsidRPr="001D273F">
        <w:rPr>
          <w:rFonts w:hint="eastAsia"/>
        </w:rPr>
        <w:t>运输过程中，分梳山羊绒不得被污染，不得使用有损包装的器械进行装卸。</w:t>
      </w:r>
    </w:p>
    <w:p w:rsidR="001D273F" w:rsidRPr="001D273F" w:rsidRDefault="001D273F" w:rsidP="001D273F">
      <w:pPr>
        <w:pStyle w:val="affd"/>
        <w:spacing w:before="120" w:after="120"/>
      </w:pPr>
      <w:r>
        <w:rPr>
          <w:rFonts w:hint="eastAsia"/>
        </w:rPr>
        <w:t>贮存</w:t>
      </w:r>
    </w:p>
    <w:p w:rsidR="00D10E08" w:rsidRDefault="00F63FC7" w:rsidP="00F63FC7">
      <w:pPr>
        <w:pStyle w:val="affe"/>
        <w:spacing w:before="120" w:after="120"/>
      </w:pPr>
      <w:r w:rsidRPr="00F63FC7">
        <w:rPr>
          <w:rFonts w:hint="eastAsia"/>
        </w:rPr>
        <w:t>分梳山羊绒应在干燥通风的库房内储存，</w:t>
      </w:r>
      <w:proofErr w:type="gramStart"/>
      <w:r w:rsidRPr="00F63FC7">
        <w:rPr>
          <w:rFonts w:hint="eastAsia"/>
        </w:rPr>
        <w:t>绒包不得</w:t>
      </w:r>
      <w:proofErr w:type="gramEnd"/>
      <w:r w:rsidRPr="00F63FC7">
        <w:rPr>
          <w:rFonts w:hint="eastAsia"/>
        </w:rPr>
        <w:t>与地面直接接触，不得被污染。</w:t>
      </w:r>
    </w:p>
    <w:p w:rsidR="00F63FC7" w:rsidRDefault="00F63FC7" w:rsidP="00F63FC7">
      <w:pPr>
        <w:pStyle w:val="affe"/>
        <w:spacing w:before="120" w:after="120"/>
      </w:pPr>
      <w:r w:rsidRPr="00F63FC7">
        <w:rPr>
          <w:rFonts w:hint="eastAsia"/>
        </w:rPr>
        <w:t>分梳山羊绒以批为单位堆放，将刷有</w:t>
      </w:r>
      <w:proofErr w:type="gramStart"/>
      <w:r w:rsidRPr="00F63FC7">
        <w:rPr>
          <w:rFonts w:hint="eastAsia"/>
        </w:rPr>
        <w:t>唛</w:t>
      </w:r>
      <w:proofErr w:type="gramEnd"/>
      <w:r w:rsidRPr="00F63FC7">
        <w:rPr>
          <w:rFonts w:hint="eastAsia"/>
        </w:rPr>
        <w:t>头的包面朝外整齐排列。</w:t>
      </w:r>
    </w:p>
    <w:p w:rsidR="00F63FC7" w:rsidRDefault="00F63FC7" w:rsidP="00F63FC7">
      <w:pPr>
        <w:pStyle w:val="affe"/>
        <w:spacing w:before="120" w:after="120"/>
      </w:pPr>
      <w:r w:rsidRPr="00F63FC7">
        <w:rPr>
          <w:rFonts w:hint="eastAsia"/>
        </w:rPr>
        <w:t>分梳山羊绒堆放处的垛底应放置适量的环保型防虫剂。</w:t>
      </w:r>
    </w:p>
    <w:p w:rsidR="00F63FC7" w:rsidRDefault="00F63FC7" w:rsidP="00F63FC7">
      <w:pPr>
        <w:pStyle w:val="affc"/>
        <w:spacing w:before="240" w:after="240"/>
      </w:pPr>
      <w:r>
        <w:rPr>
          <w:rFonts w:hint="eastAsia"/>
        </w:rPr>
        <w:t>其他</w:t>
      </w:r>
    </w:p>
    <w:p w:rsidR="00F63FC7" w:rsidRDefault="00F63FC7" w:rsidP="00F63FC7">
      <w:pPr>
        <w:pStyle w:val="affd"/>
        <w:spacing w:before="120" w:after="120"/>
      </w:pPr>
      <w:r w:rsidRPr="00F63FC7">
        <w:rPr>
          <w:rFonts w:hint="eastAsia"/>
        </w:rPr>
        <w:t>标准中的某些项目，如供需双方另有要求可按合约规定执行。</w:t>
      </w:r>
    </w:p>
    <w:p w:rsidR="00F63FC7" w:rsidRPr="00F63FC7" w:rsidRDefault="00F63FC7" w:rsidP="00F63FC7">
      <w:pPr>
        <w:pStyle w:val="affd"/>
        <w:spacing w:before="120" w:after="120"/>
      </w:pPr>
      <w:r w:rsidRPr="00F63FC7">
        <w:rPr>
          <w:rFonts w:hint="eastAsia"/>
        </w:rPr>
        <w:t>若遇超出本标准规定范围，供需双方可协商解决。</w:t>
      </w:r>
    </w:p>
    <w:p w:rsidR="00D10E08" w:rsidRDefault="00D10E08" w:rsidP="00D10E08">
      <w:pPr>
        <w:pStyle w:val="affffb"/>
        <w:ind w:firstLine="420"/>
      </w:pPr>
    </w:p>
    <w:p w:rsidR="00C227B9" w:rsidRDefault="00C227B9" w:rsidP="00F63FC7">
      <w:pPr>
        <w:pStyle w:val="affffb"/>
        <w:ind w:firstLineChars="0" w:firstLine="0"/>
      </w:pPr>
    </w:p>
    <w:p w:rsidR="00C227B9" w:rsidRDefault="00C227B9" w:rsidP="007A5D3A">
      <w:pPr>
        <w:pStyle w:val="affffb"/>
        <w:ind w:firstLine="420"/>
      </w:pPr>
    </w:p>
    <w:p w:rsidR="00C227B9" w:rsidRDefault="00C227B9" w:rsidP="007A5D3A">
      <w:pPr>
        <w:pStyle w:val="affffb"/>
        <w:ind w:firstLine="420"/>
      </w:pPr>
    </w:p>
    <w:p w:rsidR="00C227B9" w:rsidRDefault="00C227B9" w:rsidP="00F63FC7">
      <w:pPr>
        <w:pStyle w:val="affffb"/>
        <w:ind w:firstLineChars="0" w:firstLine="0"/>
      </w:pPr>
    </w:p>
    <w:p w:rsidR="00C227B9" w:rsidRDefault="00C227B9" w:rsidP="007A5D3A">
      <w:pPr>
        <w:pStyle w:val="affffb"/>
        <w:ind w:firstLine="420"/>
      </w:pPr>
    </w:p>
    <w:p w:rsidR="00C227B9" w:rsidRDefault="00C227B9" w:rsidP="007A5D3A">
      <w:pPr>
        <w:pStyle w:val="affffb"/>
        <w:ind w:firstLine="420"/>
      </w:pPr>
    </w:p>
    <w:p w:rsidR="003E019F" w:rsidRDefault="00F63FC7" w:rsidP="00F63FC7">
      <w:pPr>
        <w:pStyle w:val="affffb"/>
        <w:ind w:firstLineChars="0" w:firstLine="0"/>
        <w:jc w:val="center"/>
      </w:pPr>
      <w:bookmarkStart w:id="46" w:name="BookMark8"/>
      <w:bookmarkEnd w:id="22"/>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3E019F" w:rsidSect="00F63FC7">
      <w:headerReference w:type="even" r:id="rId19"/>
      <w:headerReference w:type="default" r:id="rId20"/>
      <w:footerReference w:type="even" r:id="rId21"/>
      <w:footerReference w:type="default" r:id="rId22"/>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31" w:rsidRDefault="00CA5E31" w:rsidP="00D86DB7">
      <w:r>
        <w:separator/>
      </w:r>
    </w:p>
    <w:p w:rsidR="00CA5E31" w:rsidRDefault="00CA5E31"/>
    <w:p w:rsidR="00CA5E31" w:rsidRDefault="00CA5E31"/>
  </w:endnote>
  <w:endnote w:type="continuationSeparator" w:id="0">
    <w:p w:rsidR="00CA5E31" w:rsidRDefault="00CA5E31" w:rsidP="00D86DB7">
      <w:r>
        <w:continuationSeparator/>
      </w:r>
    </w:p>
    <w:p w:rsidR="00CA5E31" w:rsidRDefault="00CA5E31"/>
    <w:p w:rsidR="00CA5E31" w:rsidRDefault="00CA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C7" w:rsidRPr="00F63FC7" w:rsidRDefault="00F63FC7" w:rsidP="00F63FC7">
    <w:pPr>
      <w:pStyle w:val="affff7"/>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F63FC7">
    <w:pPr>
      <w:pStyle w:val="affff8"/>
    </w:pPr>
    <w:r>
      <w:fldChar w:fldCharType="begin"/>
    </w:r>
    <w:r>
      <w:instrText>PAGE   \* MERGEFORMAT</w:instrText>
    </w:r>
    <w:r>
      <w:fldChar w:fldCharType="separate"/>
    </w:r>
    <w:r w:rsidR="004160C2" w:rsidRPr="004160C2">
      <w:rPr>
        <w:noProof/>
        <w:lang w:val="zh-CN"/>
      </w:rPr>
      <w:t>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C7" w:rsidRPr="00F63FC7" w:rsidRDefault="00F63FC7" w:rsidP="00F63FC7">
    <w:pPr>
      <w:pStyle w:val="affff7"/>
    </w:pPr>
    <w:r>
      <w:fldChar w:fldCharType="begin"/>
    </w:r>
    <w:r>
      <w:instrText xml:space="preserve"> PAGE   \* MERGEFORMAT \* MERGEFORMAT </w:instrText>
    </w:r>
    <w:r>
      <w:fldChar w:fldCharType="separate"/>
    </w:r>
    <w:r w:rsidR="004160C2">
      <w:rPr>
        <w:noProof/>
      </w:rPr>
      <w:t>2</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C7" w:rsidRDefault="00F63FC7" w:rsidP="00F63FC7">
    <w:pPr>
      <w:pStyle w:val="affff8"/>
    </w:pPr>
    <w:r>
      <w:fldChar w:fldCharType="begin"/>
    </w:r>
    <w:r>
      <w:instrText>PAGE   \* MERGEFORMAT</w:instrText>
    </w:r>
    <w:r>
      <w:fldChar w:fldCharType="separate"/>
    </w:r>
    <w:r w:rsidR="004160C2" w:rsidRPr="004160C2">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31" w:rsidRDefault="00CA5E31" w:rsidP="00D86DB7">
      <w:r>
        <w:separator/>
      </w:r>
    </w:p>
  </w:footnote>
  <w:footnote w:type="continuationSeparator" w:id="0">
    <w:p w:rsidR="00CA5E31" w:rsidRDefault="00CA5E31" w:rsidP="00D86DB7">
      <w:r>
        <w:continuationSeparator/>
      </w:r>
    </w:p>
    <w:p w:rsidR="00CA5E31" w:rsidRDefault="00CA5E31"/>
    <w:p w:rsidR="00CA5E31" w:rsidRDefault="00CA5E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Pr="00F63FC7" w:rsidRDefault="00F63FC7" w:rsidP="00F63FC7">
    <w:pPr>
      <w:pStyle w:val="afffff1"/>
    </w:pPr>
    <w:r>
      <w:fldChar w:fldCharType="begin"/>
    </w:r>
    <w:r>
      <w:instrText xml:space="preserve"> STYLEREF  标准文件_文件编号 \* MERGEFORMAT </w:instrText>
    </w:r>
    <w:r>
      <w:fldChar w:fldCharType="separate"/>
    </w:r>
    <w:r>
      <w:t>T/ XXXX</w:t>
    </w:r>
    <w:r>
      <w:t>—</w:t>
    </w:r>
    <w:r>
      <w:t>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F63FC7">
    <w:pPr>
      <w:pStyle w:val="afffff0"/>
    </w:pPr>
    <w:r>
      <w:fldChar w:fldCharType="begin"/>
    </w:r>
    <w:r>
      <w:instrText xml:space="preserve"> STYLEREF  标准文件_文件编号  \* MERGEFORMAT </w:instrText>
    </w:r>
    <w:r>
      <w:fldChar w:fldCharType="separate"/>
    </w:r>
    <w:r w:rsidR="004160C2">
      <w:t>T/NMSP XXXX</w:t>
    </w:r>
    <w:r w:rsidR="004160C2">
      <w:t>—</w:t>
    </w:r>
    <w:r w:rsidR="004160C2">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C7" w:rsidRPr="00F63FC7" w:rsidRDefault="00F63FC7" w:rsidP="00F63FC7">
    <w:pPr>
      <w:pStyle w:val="afffff1"/>
    </w:pPr>
    <w:r>
      <w:fldChar w:fldCharType="begin"/>
    </w:r>
    <w:r>
      <w:instrText xml:space="preserve"> STYLEREF  标准文件_文件编号 \* MERGEFORMAT </w:instrText>
    </w:r>
    <w:r>
      <w:fldChar w:fldCharType="separate"/>
    </w:r>
    <w:r w:rsidR="004160C2">
      <w:t>T/NMSP XXXX</w:t>
    </w:r>
    <w:r w:rsidR="004160C2">
      <w:t>—</w:t>
    </w:r>
    <w:r w:rsidR="004160C2">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C7" w:rsidRPr="00D84FA1" w:rsidRDefault="00F63FC7" w:rsidP="00F63FC7">
    <w:pPr>
      <w:pStyle w:val="afffff0"/>
    </w:pPr>
    <w:r>
      <w:fldChar w:fldCharType="begin"/>
    </w:r>
    <w:r>
      <w:instrText xml:space="preserve"> STYLEREF  标准文件_文件编号  \* MERGEFORMAT </w:instrText>
    </w:r>
    <w:r>
      <w:fldChar w:fldCharType="separate"/>
    </w:r>
    <w:r w:rsidR="004160C2">
      <w:t>T/NMSP XXXX</w:t>
    </w:r>
    <w:r w:rsidR="004160C2">
      <w:t>—</w:t>
    </w:r>
    <w:r w:rsidR="004160C2">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UBjMiALfXHZCIwq+KHlue+MiqA2U8hLb06yu9445Bv6purEyynsuv0P+aTJmPp5DPkJlZmTvozeriPFoxgd8ZA==" w:salt="UZpMWOyEce0FqMpjTe8rS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85"/>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73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1D7C"/>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08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0C2"/>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AB8"/>
    <w:rsid w:val="004A12DF"/>
    <w:rsid w:val="004A1BA8"/>
    <w:rsid w:val="004A4B57"/>
    <w:rsid w:val="004A633C"/>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D9F"/>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E31"/>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E08"/>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C54"/>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3FC7"/>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B9BF4"/>
  <w15:docId w15:val="{D5334809-23E3-478E-8874-5D3E8214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22172552">
      <w:bodyDiv w:val="1"/>
      <w:marLeft w:val="0"/>
      <w:marRight w:val="0"/>
      <w:marTop w:val="0"/>
      <w:marBottom w:val="0"/>
      <w:divBdr>
        <w:top w:val="none" w:sz="0" w:space="0" w:color="auto"/>
        <w:left w:val="none" w:sz="0" w:space="0" w:color="auto"/>
        <w:bottom w:val="none" w:sz="0" w:space="0" w:color="auto"/>
        <w:right w:val="none" w:sz="0" w:space="0" w:color="auto"/>
      </w:divBdr>
    </w:div>
    <w:div w:id="10759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0186F6A1E4E5EA9705FDF16A0555C"/>
        <w:category>
          <w:name w:val="常规"/>
          <w:gallery w:val="placeholder"/>
        </w:category>
        <w:types>
          <w:type w:val="bbPlcHdr"/>
        </w:types>
        <w:behaviors>
          <w:behavior w:val="content"/>
        </w:behaviors>
        <w:guid w:val="{6DAA1E6C-CDBC-46CF-9F5D-7196D3D62430}"/>
      </w:docPartPr>
      <w:docPartBody>
        <w:p w:rsidR="00837AF9" w:rsidRDefault="00953456">
          <w:pPr>
            <w:pStyle w:val="6820186F6A1E4E5EA9705FDF16A0555C"/>
          </w:pPr>
          <w:r w:rsidRPr="00751A05">
            <w:rPr>
              <w:rStyle w:val="a3"/>
              <w:rFonts w:hint="eastAsia"/>
            </w:rPr>
            <w:t>单击或点击此处输入文字。</w:t>
          </w:r>
        </w:p>
      </w:docPartBody>
    </w:docPart>
    <w:docPart>
      <w:docPartPr>
        <w:name w:val="F62F8ED7FC594A378A1C84234EDFF16D"/>
        <w:category>
          <w:name w:val="常规"/>
          <w:gallery w:val="placeholder"/>
        </w:category>
        <w:types>
          <w:type w:val="bbPlcHdr"/>
        </w:types>
        <w:behaviors>
          <w:behavior w:val="content"/>
        </w:behaviors>
        <w:guid w:val="{DDA3EA33-A860-4671-A27C-F93CD1E20FF7}"/>
      </w:docPartPr>
      <w:docPartBody>
        <w:p w:rsidR="00837AF9" w:rsidRDefault="00953456">
          <w:pPr>
            <w:pStyle w:val="F62F8ED7FC594A378A1C84234EDFF16D"/>
          </w:pPr>
          <w:r w:rsidRPr="00FB6243">
            <w:rPr>
              <w:rStyle w:val="a3"/>
              <w:rFonts w:hint="eastAsia"/>
            </w:rPr>
            <w:t>选择一项。</w:t>
          </w:r>
        </w:p>
      </w:docPartBody>
    </w:docPart>
    <w:docPart>
      <w:docPartPr>
        <w:name w:val="910756794422437CA2E94D38A3AD1032"/>
        <w:category>
          <w:name w:val="常规"/>
          <w:gallery w:val="placeholder"/>
        </w:category>
        <w:types>
          <w:type w:val="bbPlcHdr"/>
        </w:types>
        <w:behaviors>
          <w:behavior w:val="content"/>
        </w:behaviors>
        <w:guid w:val="{DCAC90B4-B362-4094-B58D-E87D2DBB7E02}"/>
      </w:docPartPr>
      <w:docPartBody>
        <w:p w:rsidR="00837AF9" w:rsidRDefault="00953456">
          <w:pPr>
            <w:pStyle w:val="910756794422437CA2E94D38A3AD103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56"/>
    <w:rsid w:val="00837AF9"/>
    <w:rsid w:val="00953456"/>
    <w:rsid w:val="00EB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820186F6A1E4E5EA9705FDF16A0555C">
    <w:name w:val="6820186F6A1E4E5EA9705FDF16A0555C"/>
    <w:pPr>
      <w:widowControl w:val="0"/>
      <w:jc w:val="both"/>
    </w:pPr>
  </w:style>
  <w:style w:type="paragraph" w:customStyle="1" w:styleId="F62F8ED7FC594A378A1C84234EDFF16D">
    <w:name w:val="F62F8ED7FC594A378A1C84234EDFF16D"/>
    <w:pPr>
      <w:widowControl w:val="0"/>
      <w:jc w:val="both"/>
    </w:pPr>
  </w:style>
  <w:style w:type="paragraph" w:customStyle="1" w:styleId="910756794422437CA2E94D38A3AD1032">
    <w:name w:val="910756794422437CA2E94D38A3AD103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ABB2E-1C1B-469D-9886-EFD7D9C9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102</TotalTime>
  <Pages>9</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3</cp:revision>
  <cp:lastPrinted>2021-02-02T08:22:00Z</cp:lastPrinted>
  <dcterms:created xsi:type="dcterms:W3CDTF">2026-02-02T01:43:00Z</dcterms:created>
  <dcterms:modified xsi:type="dcterms:W3CDTF">2026-02-02T08:48:00Z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