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04BF8" w14:paraId="669747B0" w14:textId="77777777">
        <w:tc>
          <w:tcPr>
            <w:tcW w:w="509" w:type="dxa"/>
          </w:tcPr>
          <w:p w14:paraId="10C4439D" w14:textId="77777777" w:rsidR="00904BF8" w:rsidRDefault="00BF445F">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4629FBF" w14:textId="0C87A618" w:rsidR="00904BF8" w:rsidRDefault="00BF445F">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D1867">
              <w:rPr>
                <w:rFonts w:ascii="黑体" w:eastAsia="黑体" w:hAnsi="黑体"/>
                <w:sz w:val="21"/>
                <w:szCs w:val="21"/>
              </w:rPr>
              <w:t>点击此处添加ICS号</w:t>
            </w:r>
            <w:r>
              <w:rPr>
                <w:rFonts w:ascii="黑体" w:eastAsia="黑体" w:hAnsi="黑体"/>
                <w:sz w:val="21"/>
                <w:szCs w:val="21"/>
              </w:rPr>
              <w:fldChar w:fldCharType="end"/>
            </w:r>
            <w:bookmarkEnd w:id="0"/>
          </w:p>
        </w:tc>
      </w:tr>
      <w:tr w:rsidR="00904BF8" w14:paraId="56234B62" w14:textId="77777777">
        <w:tc>
          <w:tcPr>
            <w:tcW w:w="509" w:type="dxa"/>
          </w:tcPr>
          <w:p w14:paraId="54A61AF4" w14:textId="77777777" w:rsidR="00904BF8" w:rsidRDefault="00BF445F">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04BF8" w14:paraId="5298A7C1" w14:textId="77777777">
              <w:trPr>
                <w:trHeight w:hRule="exact" w:val="1021"/>
              </w:trPr>
              <w:tc>
                <w:tcPr>
                  <w:tcW w:w="9242" w:type="dxa"/>
                  <w:vAlign w:val="center"/>
                </w:tcPr>
                <w:p w14:paraId="0364F1B0" w14:textId="77777777" w:rsidR="00904BF8" w:rsidRDefault="00BF445F" w:rsidP="001B398D">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084DDEF7" wp14:editId="2E6F57A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0082D580" wp14:editId="3645409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45688781" w14:textId="77777777" w:rsidR="00904BF8" w:rsidRDefault="00BF445F">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230FE18B" w14:textId="77777777" w:rsidR="00904BF8" w:rsidRDefault="00BF445F">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34C5D66" w14:textId="77777777" w:rsidR="00904BF8" w:rsidRDefault="00BF445F">
      <w:pPr>
        <w:pStyle w:val="affffffffff2"/>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13A7EBF9" w14:textId="77777777" w:rsidR="00904BF8" w:rsidRDefault="00BF445F">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2C1461BC" w14:textId="77777777" w:rsidR="00904BF8" w:rsidRDefault="00BF445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9CB46A2" wp14:editId="2661842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F63E91" w14:textId="77777777" w:rsidR="00904BF8" w:rsidRDefault="00904BF8">
      <w:pPr>
        <w:pStyle w:val="afffff0"/>
        <w:framePr w:w="9639" w:h="6976" w:hRule="exact" w:hSpace="0" w:vSpace="0" w:wrap="around" w:hAnchor="page" w:y="6408"/>
        <w:jc w:val="center"/>
        <w:rPr>
          <w:rFonts w:ascii="黑体" w:eastAsia="黑体" w:hAnsi="黑体"/>
          <w:b w:val="0"/>
          <w:bCs w:val="0"/>
          <w:w w:val="100"/>
        </w:rPr>
      </w:pPr>
    </w:p>
    <w:p w14:paraId="0E990824" w14:textId="78920B68" w:rsidR="001B398D" w:rsidRDefault="00BF445F">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1B398D">
        <w:t>乳制品智慧实验室 数据全生命周期管理</w:t>
      </w:r>
    </w:p>
    <w:p w14:paraId="15CB0F47" w14:textId="1FD9F8FD" w:rsidR="00904BF8" w:rsidRDefault="001B398D">
      <w:pPr>
        <w:pStyle w:val="affffffffff4"/>
        <w:framePr w:h="6974" w:hRule="exact" w:wrap="around" w:x="1419" w:anchorLock="1"/>
      </w:pPr>
      <w:r>
        <w:t>规范</w:t>
      </w:r>
      <w:r w:rsidR="00BF445F">
        <w:fldChar w:fldCharType="end"/>
      </w:r>
      <w:bookmarkEnd w:id="10"/>
    </w:p>
    <w:p w14:paraId="2A15DF07" w14:textId="77777777" w:rsidR="00904BF8" w:rsidRDefault="00904BF8">
      <w:pPr>
        <w:framePr w:w="9639" w:h="6974" w:hRule="exact" w:wrap="around" w:vAnchor="page" w:hAnchor="page" w:x="1419" w:y="6408" w:anchorLock="1"/>
        <w:ind w:left="-1418"/>
      </w:pPr>
    </w:p>
    <w:p w14:paraId="2419C6EB" w14:textId="463BA0B5" w:rsidR="00904BF8" w:rsidRDefault="00BF445F">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sidR="00714643" w:rsidRPr="00714643">
        <w:rPr>
          <w:rFonts w:eastAsia="黑体"/>
          <w:szCs w:val="28"/>
        </w:rPr>
        <w:t>Dairy smart lab — Data Lifecycle Management Specification</w:t>
      </w:r>
      <w:r>
        <w:rPr>
          <w:rFonts w:eastAsia="黑体"/>
          <w:szCs w:val="28"/>
        </w:rPr>
        <w:fldChar w:fldCharType="end"/>
      </w:r>
      <w:bookmarkEnd w:id="11"/>
    </w:p>
    <w:p w14:paraId="0BF0E1C4" w14:textId="77777777" w:rsidR="00904BF8" w:rsidRDefault="00904BF8">
      <w:pPr>
        <w:framePr w:w="9639" w:h="6974" w:hRule="exact" w:wrap="around" w:vAnchor="page" w:hAnchor="page" w:x="1419" w:y="6408" w:anchorLock="1"/>
        <w:spacing w:line="760" w:lineRule="exact"/>
        <w:ind w:left="-1418"/>
      </w:pPr>
    </w:p>
    <w:p w14:paraId="3311DF1D" w14:textId="77777777" w:rsidR="00904BF8" w:rsidRDefault="00904BF8">
      <w:pPr>
        <w:pStyle w:val="afffffff8"/>
        <w:framePr w:w="9639" w:h="6974" w:hRule="exact" w:wrap="around" w:vAnchor="page" w:hAnchor="page" w:x="1419" w:y="6408" w:anchorLock="1"/>
        <w:textAlignment w:val="bottom"/>
        <w:rPr>
          <w:rFonts w:eastAsia="黑体"/>
          <w:szCs w:val="28"/>
        </w:rPr>
      </w:pPr>
    </w:p>
    <w:p w14:paraId="4FA93D3E" w14:textId="395E59F8" w:rsidR="00904BF8" w:rsidRDefault="00BF445F">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1B398D">
        <w:rPr>
          <w:sz w:val="24"/>
          <w:szCs w:val="28"/>
        </w:rPr>
      </w:r>
      <w:r w:rsidR="00B10D42">
        <w:rPr>
          <w:sz w:val="24"/>
          <w:szCs w:val="28"/>
        </w:rPr>
        <w:fldChar w:fldCharType="separate"/>
      </w:r>
      <w:r>
        <w:rPr>
          <w:sz w:val="24"/>
          <w:szCs w:val="28"/>
        </w:rPr>
        <w:fldChar w:fldCharType="end"/>
      </w:r>
      <w:bookmarkEnd w:id="12"/>
    </w:p>
    <w:p w14:paraId="2A9F47F8" w14:textId="537222E4" w:rsidR="00904BF8" w:rsidRDefault="00BF445F">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1B398D">
        <w:rPr>
          <w:sz w:val="21"/>
          <w:szCs w:val="28"/>
        </w:rPr>
        <w:t> </w:t>
      </w:r>
      <w:r w:rsidR="001B398D">
        <w:rPr>
          <w:sz w:val="21"/>
          <w:szCs w:val="28"/>
        </w:rPr>
        <w:t> </w:t>
      </w:r>
      <w:r w:rsidR="001B398D">
        <w:rPr>
          <w:sz w:val="21"/>
          <w:szCs w:val="28"/>
        </w:rPr>
        <w:t> </w:t>
      </w:r>
      <w:r w:rsidR="001B398D">
        <w:rPr>
          <w:sz w:val="21"/>
          <w:szCs w:val="28"/>
        </w:rPr>
        <w:t> </w:t>
      </w:r>
      <w:r w:rsidR="001B398D">
        <w:rPr>
          <w:sz w:val="21"/>
          <w:szCs w:val="28"/>
        </w:rPr>
        <w:t> </w:t>
      </w:r>
      <w:r>
        <w:rPr>
          <w:sz w:val="21"/>
          <w:szCs w:val="28"/>
        </w:rPr>
        <w:fldChar w:fldCharType="end"/>
      </w:r>
      <w:bookmarkEnd w:id="13"/>
    </w:p>
    <w:p w14:paraId="3B98C3C5" w14:textId="77777777" w:rsidR="00904BF8" w:rsidRDefault="00BF445F">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B10D42">
        <w:rPr>
          <w:b/>
          <w:sz w:val="21"/>
          <w:szCs w:val="28"/>
        </w:rPr>
      </w:r>
      <w:r w:rsidR="00B10D42">
        <w:rPr>
          <w:b/>
          <w:sz w:val="21"/>
          <w:szCs w:val="28"/>
        </w:rPr>
        <w:fldChar w:fldCharType="separate"/>
      </w:r>
      <w:r>
        <w:rPr>
          <w:b/>
          <w:sz w:val="21"/>
          <w:szCs w:val="28"/>
        </w:rPr>
        <w:fldChar w:fldCharType="end"/>
      </w:r>
      <w:bookmarkEnd w:id="14"/>
    </w:p>
    <w:p w14:paraId="6E9B2BC3" w14:textId="77777777" w:rsidR="00904BF8" w:rsidRDefault="00BF445F">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51EAD7D1" w14:textId="77777777" w:rsidR="00904BF8" w:rsidRDefault="00BF445F">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3966500E" w14:textId="77777777" w:rsidR="00904BF8" w:rsidRDefault="00BF445F">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51A0ED7" w14:textId="77777777" w:rsidR="00904BF8" w:rsidRDefault="00BF445F">
      <w:pPr>
        <w:rPr>
          <w:rFonts w:ascii="宋体" w:hAnsi="宋体"/>
          <w:sz w:val="28"/>
          <w:szCs w:val="28"/>
        </w:rPr>
        <w:sectPr w:rsidR="00904BF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616A036" wp14:editId="2D0CF04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rMxz7EwEA&#10;AA4BAAAPAAAAAAAAAAEAIAAAACIAAABkcnMvZG93bnJldi54bWxQSwECFAAUAAAACACHTuJAWS4l&#10;mOMBAACqAwAADgAAAAAAAAABACAAAABiAQAAZHJzL2Uyb0RvYy54bWxQSwUGAAAAAAYABgBZAQAA&#10;twUAAAAA&#10;">
                <v:fill on="f" focussize="0,0"/>
                <v:stroke color="#000000" joinstyle="round"/>
                <v:imagedata o:title=""/>
                <o:lock v:ext="edit" aspectratio="f"/>
                <w10:anchorlock/>
              </v:line>
            </w:pict>
          </mc:Fallback>
        </mc:AlternateContent>
      </w:r>
    </w:p>
    <w:p w14:paraId="162B429B" w14:textId="77777777" w:rsidR="00AD1867" w:rsidRDefault="00AD1867" w:rsidP="00AD1867">
      <w:pPr>
        <w:pStyle w:val="a6"/>
        <w:spacing w:before="900" w:after="468"/>
      </w:pPr>
      <w:bookmarkStart w:id="22" w:name="BookMark2"/>
      <w:r w:rsidRPr="00AD1867">
        <w:rPr>
          <w:spacing w:val="320"/>
        </w:rPr>
        <w:lastRenderedPageBreak/>
        <w:t>前</w:t>
      </w:r>
      <w:r>
        <w:t>言</w:t>
      </w:r>
    </w:p>
    <w:p w14:paraId="0C5FB923" w14:textId="77777777" w:rsidR="00AD1867" w:rsidRDefault="00AD1867" w:rsidP="00AD1867">
      <w:pPr>
        <w:pStyle w:val="afffff5"/>
        <w:ind w:firstLine="420"/>
      </w:pPr>
      <w:r>
        <w:rPr>
          <w:rFonts w:hint="eastAsia"/>
        </w:rPr>
        <w:t>本文件按照GB/T 1.1—2020《标准化工作导则  第1部分：标准化文件的结构和起草规则》的规定起草。</w:t>
      </w:r>
    </w:p>
    <w:p w14:paraId="1AB46466" w14:textId="77777777" w:rsidR="00AD1867" w:rsidRDefault="00AD1867" w:rsidP="00AD1867">
      <w:pPr>
        <w:pStyle w:val="afffff5"/>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157C5029" w14:textId="77777777" w:rsidR="00AD1867" w:rsidRDefault="00AD1867" w:rsidP="00AD1867">
      <w:pPr>
        <w:pStyle w:val="afffff5"/>
        <w:ind w:firstLine="420"/>
      </w:pPr>
      <w:r>
        <w:rPr>
          <w:rFonts w:hint="eastAsia"/>
        </w:rPr>
        <w:t>本文件由</w:t>
      </w:r>
      <w:bookmarkStart w:id="24" w:name="OLE_LINK27"/>
      <w:r>
        <w:rPr>
          <w:rFonts w:hint="eastAsia"/>
        </w:rPr>
        <w:t>内蒙古标准发展促进会归口</w:t>
      </w:r>
      <w:bookmarkEnd w:id="24"/>
      <w:r>
        <w:rPr>
          <w:rFonts w:hint="eastAsia"/>
        </w:rPr>
        <w:t>。</w:t>
      </w:r>
    </w:p>
    <w:bookmarkEnd w:id="23"/>
    <w:p w14:paraId="796ED210" w14:textId="77777777" w:rsidR="00AD1867" w:rsidRDefault="00AD1867" w:rsidP="00AD1867">
      <w:pPr>
        <w:pStyle w:val="afffff5"/>
        <w:ind w:firstLine="420"/>
      </w:pPr>
      <w:r>
        <w:rPr>
          <w:rFonts w:hint="eastAsia"/>
        </w:rPr>
        <w:t>本文件起草单位：</w:t>
      </w:r>
    </w:p>
    <w:p w14:paraId="23F31F91" w14:textId="77777777" w:rsidR="00AD1867" w:rsidRDefault="00AD1867" w:rsidP="00AD1867">
      <w:pPr>
        <w:pStyle w:val="afffff5"/>
        <w:ind w:firstLine="420"/>
      </w:pPr>
      <w:r>
        <w:rPr>
          <w:rFonts w:hint="eastAsia"/>
        </w:rPr>
        <w:t>本文件主要起草人：</w:t>
      </w:r>
    </w:p>
    <w:p w14:paraId="32CE7D07" w14:textId="77777777" w:rsidR="00AD1867" w:rsidRDefault="00AD1867" w:rsidP="00AD1867">
      <w:pPr>
        <w:pStyle w:val="afffff5"/>
        <w:ind w:firstLine="420"/>
      </w:pPr>
    </w:p>
    <w:p w14:paraId="50F30351" w14:textId="08154396" w:rsidR="00AD1867" w:rsidRPr="00AD1867" w:rsidRDefault="00AD1867" w:rsidP="00AD1867">
      <w:pPr>
        <w:pStyle w:val="afffff5"/>
        <w:ind w:firstLine="420"/>
        <w:sectPr w:rsidR="00AD1867" w:rsidRPr="00AD1867" w:rsidSect="00AD1867">
          <w:pgSz w:w="11906" w:h="16838"/>
          <w:pgMar w:top="1928" w:right="1134" w:bottom="1134" w:left="1134" w:header="1418" w:footer="1134" w:gutter="284"/>
          <w:pgNumType w:fmt="upperRoman" w:start="1"/>
          <w:cols w:space="425"/>
          <w:formProt w:val="0"/>
          <w:docGrid w:type="lines" w:linePitch="312"/>
        </w:sectPr>
      </w:pPr>
    </w:p>
    <w:p w14:paraId="73B81B34" w14:textId="3696C43C" w:rsidR="00904BF8" w:rsidRDefault="00904BF8">
      <w:pPr>
        <w:spacing w:line="20" w:lineRule="exact"/>
        <w:jc w:val="center"/>
        <w:rPr>
          <w:rFonts w:ascii="黑体" w:eastAsia="黑体" w:hAnsi="黑体"/>
          <w:sz w:val="32"/>
          <w:szCs w:val="32"/>
        </w:rPr>
      </w:pPr>
      <w:bookmarkStart w:id="25" w:name="BookMark4"/>
      <w:bookmarkEnd w:id="22"/>
    </w:p>
    <w:p w14:paraId="78F89691" w14:textId="77777777" w:rsidR="00904BF8" w:rsidRDefault="00904BF8">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E61B7D39EFC143768C08E5C89EA6C0D5"/>
        </w:placeholder>
      </w:sdtPr>
      <w:sdtEndPr/>
      <w:sdtContent>
        <w:p w14:paraId="3C5632F6" w14:textId="77777777" w:rsidR="001B398D" w:rsidRDefault="001B398D" w:rsidP="001B398D">
          <w:pPr>
            <w:pStyle w:val="afffffffff8"/>
            <w:spacing w:beforeLines="1" w:before="3" w:afterLines="1" w:after="3"/>
          </w:pPr>
          <w:r>
            <w:rPr>
              <w:rFonts w:hint="eastAsia"/>
            </w:rPr>
            <w:t>乳制品智慧实验室</w:t>
          </w:r>
          <w:r>
            <w:t xml:space="preserve"> 数据全生命周期管理</w:t>
          </w:r>
        </w:p>
        <w:p w14:paraId="73B54277" w14:textId="51EDD584" w:rsidR="00904BF8" w:rsidRDefault="001B398D" w:rsidP="001B398D">
          <w:pPr>
            <w:pStyle w:val="afffffffff8"/>
            <w:spacing w:beforeLines="1" w:before="3" w:after="680"/>
          </w:pPr>
          <w:r>
            <w:rPr>
              <w:rFonts w:hint="eastAsia"/>
            </w:rPr>
            <w:t>规范</w:t>
          </w:r>
        </w:p>
      </w:sdtContent>
    </w:sdt>
    <w:p w14:paraId="0BC3D0EF" w14:textId="77777777" w:rsidR="00904BF8" w:rsidRDefault="00BF445F">
      <w:pPr>
        <w:pStyle w:val="affc"/>
        <w:spacing w:before="312" w:after="312"/>
      </w:pPr>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7233325"/>
      <w:bookmarkStart w:id="35" w:name="_Toc17233333"/>
      <w:bookmarkEnd w:id="26"/>
      <w:r>
        <w:rPr>
          <w:rFonts w:hint="eastAsia"/>
        </w:rPr>
        <w:t>范围</w:t>
      </w:r>
      <w:bookmarkEnd w:id="27"/>
      <w:bookmarkEnd w:id="28"/>
      <w:bookmarkEnd w:id="29"/>
      <w:bookmarkEnd w:id="30"/>
      <w:bookmarkEnd w:id="31"/>
      <w:bookmarkEnd w:id="32"/>
      <w:bookmarkEnd w:id="33"/>
      <w:bookmarkEnd w:id="34"/>
      <w:bookmarkEnd w:id="35"/>
    </w:p>
    <w:p w14:paraId="232B0C44" w14:textId="494A290E" w:rsidR="00F0014F" w:rsidRPr="00F0014F" w:rsidRDefault="00F0014F">
      <w:pPr>
        <w:pStyle w:val="afffff5"/>
        <w:ind w:firstLine="420"/>
      </w:pPr>
      <w:bookmarkStart w:id="36" w:name="_Toc17233334"/>
      <w:bookmarkStart w:id="37" w:name="_Toc24884212"/>
      <w:bookmarkStart w:id="38" w:name="_Toc24884219"/>
      <w:bookmarkStart w:id="39" w:name="_Toc26648466"/>
      <w:bookmarkStart w:id="40" w:name="_Toc17233326"/>
      <w:r w:rsidRPr="00F0014F">
        <w:rPr>
          <w:rFonts w:hint="eastAsia"/>
        </w:rPr>
        <w:t>本文件规定了</w:t>
      </w:r>
      <w:r w:rsidRPr="00F0014F">
        <w:t>乳制品智慧实验室数据</w:t>
      </w:r>
      <w:r w:rsidRPr="00F0014F">
        <w:rPr>
          <w:rFonts w:hint="eastAsia"/>
        </w:rPr>
        <w:t>的采集、存储、传输、使用、共享、安全、销毁</w:t>
      </w:r>
      <w:r w:rsidRPr="00F0014F">
        <w:t>全生命周期</w:t>
      </w:r>
      <w:r w:rsidRPr="00F0014F">
        <w:rPr>
          <w:rFonts w:hint="eastAsia"/>
        </w:rPr>
        <w:t>应用的要求</w:t>
      </w:r>
      <w:r w:rsidRPr="00F0014F">
        <w:t>。</w:t>
      </w:r>
    </w:p>
    <w:p w14:paraId="4A6FB319" w14:textId="71A59326" w:rsidR="00F0014F" w:rsidRPr="00F0014F" w:rsidRDefault="00F0014F" w:rsidP="00F0014F">
      <w:pPr>
        <w:pStyle w:val="afffff5"/>
        <w:adjustRightInd w:val="0"/>
        <w:snapToGrid w:val="0"/>
        <w:ind w:firstLine="420"/>
      </w:pPr>
      <w:bookmarkStart w:id="41" w:name="_Hlk193457373"/>
      <w:r w:rsidRPr="00F0014F">
        <w:rPr>
          <w:rFonts w:hint="eastAsia"/>
        </w:rPr>
        <w:t>本文件适用于</w:t>
      </w:r>
      <w:r w:rsidRPr="00F0014F">
        <w:t>乳制品智慧实验室的</w:t>
      </w:r>
      <w:r w:rsidRPr="00F0014F">
        <w:rPr>
          <w:rFonts w:hint="eastAsia"/>
        </w:rPr>
        <w:t>设计和应用</w:t>
      </w:r>
      <w:r w:rsidRPr="00F0014F">
        <w:t>。</w:t>
      </w:r>
      <w:bookmarkEnd w:id="41"/>
    </w:p>
    <w:p w14:paraId="2F0B83B6" w14:textId="4582650B" w:rsidR="00904BF8" w:rsidRDefault="00F0014F">
      <w:pPr>
        <w:pStyle w:val="affc"/>
        <w:spacing w:before="312" w:after="312"/>
      </w:pPr>
      <w:bookmarkStart w:id="42" w:name="_Toc97192965"/>
      <w:bookmarkStart w:id="43" w:name="_Toc26986531"/>
      <w:bookmarkStart w:id="44" w:name="_Toc26718931"/>
      <w:bookmarkStart w:id="45" w:name="_Toc26986772"/>
      <w:r>
        <w:rPr>
          <w:rFonts w:hint="eastAsia"/>
        </w:rPr>
        <w:t>规范性引用文件</w:t>
      </w:r>
      <w:bookmarkEnd w:id="36"/>
      <w:bookmarkEnd w:id="37"/>
      <w:bookmarkEnd w:id="38"/>
      <w:bookmarkEnd w:id="39"/>
      <w:bookmarkEnd w:id="40"/>
      <w:bookmarkEnd w:id="42"/>
      <w:bookmarkEnd w:id="43"/>
      <w:bookmarkEnd w:id="44"/>
      <w:bookmarkEnd w:id="45"/>
    </w:p>
    <w:sdt>
      <w:sdtPr>
        <w:rPr>
          <w:rFonts w:hint="eastAsia"/>
        </w:rPr>
        <w:id w:val="715848253"/>
        <w:placeholder>
          <w:docPart w:val="ABF6E006B1EA49B887AEFD52EFCDDF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8E934A5" w14:textId="1A43F7D9" w:rsidR="00904BF8" w:rsidRDefault="00EE0612" w:rsidP="00F85072">
          <w:pPr>
            <w:pStyle w:val="afffff5"/>
            <w:ind w:firstLine="420"/>
          </w:pPr>
          <w:r>
            <w:rPr>
              <w:rFonts w:hint="eastAsia"/>
            </w:rPr>
            <w:t>本文件没有规范性引用文件。</w:t>
          </w:r>
        </w:p>
      </w:sdtContent>
    </w:sdt>
    <w:p w14:paraId="4595680C" w14:textId="77777777" w:rsidR="00904BF8" w:rsidRDefault="00BF445F">
      <w:pPr>
        <w:pStyle w:val="affc"/>
        <w:spacing w:before="312" w:after="312"/>
      </w:pPr>
      <w:bookmarkStart w:id="46" w:name="_Toc97192966"/>
      <w:r>
        <w:rPr>
          <w:rFonts w:hint="eastAsia"/>
          <w:szCs w:val="21"/>
        </w:rPr>
        <w:t>术语和定义</w:t>
      </w:r>
      <w:bookmarkEnd w:id="46"/>
    </w:p>
    <w:bookmarkStart w:id="47" w:name="_Toc26986532" w:displacedByCustomXml="next"/>
    <w:bookmarkEnd w:id="47" w:displacedByCustomXml="next"/>
    <w:sdt>
      <w:sdtPr>
        <w:id w:val="-1"/>
        <w:placeholder>
          <w:docPart w:val="C4F6F87A48134A07A3B2BDA96D3161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FC5607D" w14:textId="32FB3D9B" w:rsidR="00904BF8" w:rsidRDefault="00BF7201">
          <w:pPr>
            <w:pStyle w:val="afffff5"/>
            <w:ind w:firstLine="420"/>
          </w:pPr>
          <w:r>
            <w:t>下列术语和定义适用于本文件。</w:t>
          </w:r>
        </w:p>
      </w:sdtContent>
    </w:sdt>
    <w:bookmarkEnd w:id="25"/>
    <w:p w14:paraId="32150BAF" w14:textId="77777777" w:rsidR="00A054B7" w:rsidRDefault="00A054B7" w:rsidP="00A054B7">
      <w:pPr>
        <w:pStyle w:val="afffff5"/>
        <w:ind w:firstLineChars="0" w:firstLine="0"/>
        <w:rPr>
          <w:rFonts w:ascii="黑体" w:eastAsia="黑体" w:hAnsi="黑体"/>
        </w:rPr>
      </w:pPr>
      <w:r>
        <w:rPr>
          <w:rFonts w:ascii="黑体" w:eastAsia="黑体" w:hAnsi="黑体" w:hint="eastAsia"/>
        </w:rPr>
        <w:t>3.1</w:t>
      </w:r>
    </w:p>
    <w:p w14:paraId="6C6DFB8F" w14:textId="77777777" w:rsidR="00A054B7" w:rsidRDefault="00A054B7" w:rsidP="00A054B7">
      <w:pPr>
        <w:pStyle w:val="afffff5"/>
        <w:ind w:firstLine="420"/>
      </w:pPr>
      <w:r>
        <w:rPr>
          <w:rFonts w:ascii="黑体" w:eastAsia="黑体" w:hAnsi="黑体"/>
        </w:rPr>
        <w:t>生命周期</w:t>
      </w:r>
      <w:r>
        <w:rPr>
          <w:rFonts w:hint="eastAsia"/>
        </w:rPr>
        <w:t xml:space="preserve">  </w:t>
      </w:r>
      <w:r>
        <w:rPr>
          <w:rFonts w:ascii="黑体" w:eastAsia="黑体" w:hAnsi="黑体" w:hint="eastAsia"/>
        </w:rPr>
        <w:t>life cycle</w:t>
      </w:r>
    </w:p>
    <w:p w14:paraId="525885A0" w14:textId="77777777" w:rsidR="00A054B7" w:rsidRDefault="00A054B7" w:rsidP="00A054B7">
      <w:pPr>
        <w:pStyle w:val="afffff5"/>
        <w:ind w:firstLine="420"/>
      </w:pPr>
      <w:r>
        <w:rPr>
          <w:rFonts w:hint="eastAsia"/>
        </w:rPr>
        <w:t>数据从采集到销毁的整个过程，指数据的采集、存储、传输、使用、共享、安全、销毁七个阶段。</w:t>
      </w:r>
    </w:p>
    <w:p w14:paraId="290B1B86" w14:textId="77777777" w:rsidR="00A054B7" w:rsidRDefault="00A054B7" w:rsidP="00A054B7">
      <w:pPr>
        <w:pStyle w:val="affc"/>
        <w:spacing w:before="312" w:after="312"/>
      </w:pPr>
      <w:bookmarkStart w:id="48" w:name="_Toc12699"/>
      <w:bookmarkStart w:id="49" w:name="_Toc217380769"/>
      <w:r>
        <w:rPr>
          <w:rFonts w:hint="eastAsia"/>
        </w:rPr>
        <w:t>数据采集</w:t>
      </w:r>
      <w:bookmarkEnd w:id="48"/>
      <w:bookmarkEnd w:id="49"/>
    </w:p>
    <w:p w14:paraId="2A2BB9B3" w14:textId="77777777" w:rsidR="00A054B7" w:rsidRDefault="00A054B7" w:rsidP="00A054B7">
      <w:pPr>
        <w:pStyle w:val="affd"/>
        <w:spacing w:before="156" w:after="156"/>
      </w:pPr>
      <w:r>
        <w:rPr>
          <w:rFonts w:hint="eastAsia"/>
        </w:rPr>
        <w:t xml:space="preserve"> </w:t>
      </w:r>
      <w:bookmarkStart w:id="50" w:name="_Toc15085"/>
      <w:r>
        <w:rPr>
          <w:rFonts w:hint="eastAsia"/>
        </w:rPr>
        <w:t>采集方式</w:t>
      </w:r>
      <w:bookmarkEnd w:id="50"/>
    </w:p>
    <w:p w14:paraId="6A7FCF95" w14:textId="77777777" w:rsidR="00A054B7" w:rsidRDefault="00A054B7" w:rsidP="00A054B7">
      <w:pPr>
        <w:pStyle w:val="afffff5"/>
        <w:ind w:firstLine="420"/>
      </w:pPr>
      <w:r>
        <w:rPr>
          <w:rFonts w:hint="eastAsia"/>
        </w:rPr>
        <w:t>应</w:t>
      </w:r>
      <w:r>
        <w:t>支持数据库直接采集、导出报告采集、串口协议采集、传感器自动采集、图像视觉采集等多种方式，实现</w:t>
      </w:r>
      <w:proofErr w:type="gramStart"/>
      <w:r>
        <w:t>实验全</w:t>
      </w:r>
      <w:proofErr w:type="gramEnd"/>
      <w:r>
        <w:rPr>
          <w:rFonts w:hint="eastAsia"/>
        </w:rPr>
        <w:t>过程所需</w:t>
      </w:r>
      <w:r>
        <w:t>数据</w:t>
      </w:r>
      <w:r>
        <w:rPr>
          <w:rFonts w:hint="eastAsia"/>
        </w:rPr>
        <w:t>的</w:t>
      </w:r>
      <w:r>
        <w:t>采集。</w:t>
      </w:r>
    </w:p>
    <w:p w14:paraId="444B72E0" w14:textId="77777777" w:rsidR="00A054B7" w:rsidRDefault="00A054B7" w:rsidP="00A054B7">
      <w:pPr>
        <w:pStyle w:val="affd"/>
        <w:spacing w:before="156" w:after="156"/>
      </w:pPr>
      <w:r>
        <w:rPr>
          <w:rFonts w:hint="eastAsia"/>
        </w:rPr>
        <w:t xml:space="preserve"> </w:t>
      </w:r>
      <w:bookmarkStart w:id="51" w:name="_Toc293"/>
      <w:r>
        <w:rPr>
          <w:rFonts w:hint="eastAsia"/>
        </w:rPr>
        <w:t>采集要求</w:t>
      </w:r>
      <w:bookmarkEnd w:id="51"/>
    </w:p>
    <w:p w14:paraId="1D82DCDC" w14:textId="77777777" w:rsidR="00A054B7" w:rsidRDefault="00A054B7" w:rsidP="00A054B7">
      <w:pPr>
        <w:adjustRightInd/>
        <w:ind w:firstLineChars="200" w:firstLine="420"/>
        <w:rPr>
          <w:rFonts w:ascii="Times New Roman" w:hAnsi="Times New Roman"/>
          <w:kern w:val="0"/>
          <w:szCs w:val="20"/>
        </w:rPr>
      </w:pPr>
      <w:r>
        <w:rPr>
          <w:rFonts w:ascii="Times New Roman" w:hAnsi="Times New Roman" w:hint="eastAsia"/>
          <w:kern w:val="0"/>
          <w:szCs w:val="20"/>
        </w:rPr>
        <w:t>数据采集要求功能如下：</w:t>
      </w:r>
    </w:p>
    <w:p w14:paraId="405FA376" w14:textId="77777777" w:rsidR="00A054B7" w:rsidRDefault="00A054B7" w:rsidP="00A054B7">
      <w:pPr>
        <w:pStyle w:val="af5"/>
      </w:pPr>
      <w:r>
        <w:rPr>
          <w:rFonts w:hint="eastAsia"/>
        </w:rPr>
        <w:t>应</w:t>
      </w:r>
      <w:r>
        <w:t>具备物联网感知能力，可实时、精准采集机械设备、仪器设备、环境设施、LIMS/MES等垂直业务系统的全域数据，无需人工干预</w:t>
      </w:r>
      <w:r>
        <w:rPr>
          <w:rFonts w:hint="eastAsia"/>
        </w:rPr>
        <w:t>；</w:t>
      </w:r>
    </w:p>
    <w:p w14:paraId="300EC0E8" w14:textId="77777777" w:rsidR="00A054B7" w:rsidRDefault="00A054B7" w:rsidP="00A054B7">
      <w:pPr>
        <w:pStyle w:val="af5"/>
      </w:pPr>
      <w:r>
        <w:rPr>
          <w:rFonts w:hint="eastAsia"/>
        </w:rPr>
        <w:t>应</w:t>
      </w:r>
      <w:r>
        <w:t>兼容</w:t>
      </w:r>
      <w:r>
        <w:rPr>
          <w:rFonts w:hint="eastAsia"/>
        </w:rPr>
        <w:t>可编程逻辑控制器（</w:t>
      </w:r>
      <w:r>
        <w:t>PLC</w:t>
      </w:r>
      <w:r>
        <w:rPr>
          <w:rFonts w:hint="eastAsia"/>
        </w:rPr>
        <w:t>）</w:t>
      </w:r>
      <w:r>
        <w:t>、</w:t>
      </w:r>
      <w:r>
        <w:rPr>
          <w:rFonts w:hint="eastAsia"/>
        </w:rPr>
        <w:t>应用程序编程接口（</w:t>
      </w:r>
      <w:r>
        <w:t>API</w:t>
      </w:r>
      <w:bookmarkStart w:id="52" w:name="OLE_LINK5"/>
      <w:r>
        <w:rPr>
          <w:rFonts w:hint="eastAsia"/>
        </w:rPr>
        <w:t>）</w:t>
      </w:r>
      <w:bookmarkEnd w:id="52"/>
      <w:r>
        <w:t>、</w:t>
      </w:r>
      <w:r>
        <w:rPr>
          <w:rFonts w:hint="eastAsia"/>
        </w:rPr>
        <w:t>消息队列遥测传输（</w:t>
      </w:r>
      <w:r>
        <w:t>MQTT</w:t>
      </w:r>
      <w:r>
        <w:rPr>
          <w:rFonts w:hint="eastAsia"/>
        </w:rPr>
        <w:t>）</w:t>
      </w:r>
      <w:r>
        <w:t>、</w:t>
      </w:r>
      <w:r>
        <w:rPr>
          <w:rFonts w:hint="eastAsia"/>
        </w:rPr>
        <w:t>开放平台通信数据访问（</w:t>
      </w:r>
      <w:r>
        <w:t>OPC DA</w:t>
      </w:r>
      <w:r>
        <w:rPr>
          <w:rFonts w:hint="eastAsia"/>
        </w:rPr>
        <w:t>）、通用串行总线（USB）</w:t>
      </w:r>
      <w:r>
        <w:t>等多种工业级采集协议，支持异构设备无缝接入</w:t>
      </w:r>
      <w:bookmarkStart w:id="53" w:name="OLE_LINK4"/>
      <w:r>
        <w:rPr>
          <w:rFonts w:hint="eastAsia"/>
        </w:rPr>
        <w:t>；</w:t>
      </w:r>
    </w:p>
    <w:p w14:paraId="410B525B" w14:textId="77777777" w:rsidR="00A054B7" w:rsidRDefault="00A054B7" w:rsidP="00A054B7">
      <w:pPr>
        <w:pStyle w:val="af5"/>
      </w:pPr>
      <w:r>
        <w:rPr>
          <w:rFonts w:hint="eastAsia"/>
        </w:rPr>
        <w:t>应</w:t>
      </w:r>
      <w:r>
        <w:t>具备弹性扩展能力，可根据实验室新增设备、业务场景动态扩展采集范围与能力</w:t>
      </w:r>
      <w:r>
        <w:rPr>
          <w:rFonts w:hint="eastAsia"/>
        </w:rPr>
        <w:t>；</w:t>
      </w:r>
      <w:bookmarkEnd w:id="53"/>
    </w:p>
    <w:p w14:paraId="6A63513C" w14:textId="77777777" w:rsidR="00A054B7" w:rsidRDefault="00A054B7" w:rsidP="00A054B7">
      <w:pPr>
        <w:pStyle w:val="af5"/>
      </w:pPr>
      <w:r>
        <w:rPr>
          <w:rFonts w:hint="eastAsia"/>
        </w:rPr>
        <w:t>宜</w:t>
      </w:r>
      <w:r>
        <w:t>集成智能异常识别算法，自动检测、标记并处理异常数据，通过多</w:t>
      </w:r>
      <w:proofErr w:type="gramStart"/>
      <w:r>
        <w:t>源数据</w:t>
      </w:r>
      <w:proofErr w:type="gramEnd"/>
      <w:r>
        <w:t>交叉验证保障数据准确性</w:t>
      </w:r>
      <w:r>
        <w:rPr>
          <w:rFonts w:hint="eastAsia"/>
        </w:rPr>
        <w:t>。</w:t>
      </w:r>
    </w:p>
    <w:p w14:paraId="7F306560" w14:textId="77777777" w:rsidR="00A054B7" w:rsidRDefault="00A054B7" w:rsidP="00A054B7">
      <w:pPr>
        <w:pStyle w:val="affd"/>
        <w:spacing w:before="156" w:after="156"/>
      </w:pPr>
      <w:bookmarkStart w:id="54" w:name="OLE_LINK1"/>
      <w:r>
        <w:rPr>
          <w:rFonts w:hint="eastAsia"/>
        </w:rPr>
        <w:t xml:space="preserve"> </w:t>
      </w:r>
      <w:bookmarkStart w:id="55" w:name="_Toc27046"/>
      <w:r>
        <w:rPr>
          <w:rFonts w:hint="eastAsia"/>
        </w:rPr>
        <w:t>采集范围</w:t>
      </w:r>
      <w:bookmarkEnd w:id="55"/>
    </w:p>
    <w:bookmarkEnd w:id="54"/>
    <w:p w14:paraId="7EAE1A5E" w14:textId="77777777" w:rsidR="00A054B7" w:rsidRDefault="00A054B7" w:rsidP="00A054B7">
      <w:pPr>
        <w:adjustRightInd/>
        <w:spacing w:line="240" w:lineRule="auto"/>
        <w:ind w:firstLineChars="200" w:firstLine="420"/>
      </w:pPr>
      <w:r>
        <w:rPr>
          <w:rFonts w:hint="eastAsia"/>
        </w:rPr>
        <w:t>采集范围应覆盖实验开展全过程的相关联信息，宜包含基础数据类、</w:t>
      </w:r>
      <w:r>
        <w:rPr>
          <w:rFonts w:ascii="Times New Roman" w:hAnsi="Times New Roman" w:hint="eastAsia"/>
          <w:kern w:val="0"/>
          <w:szCs w:val="20"/>
        </w:rPr>
        <w:t>采送样数据类、</w:t>
      </w:r>
      <w:r>
        <w:rPr>
          <w:rFonts w:hint="eastAsia"/>
        </w:rPr>
        <w:t>实验数据类、</w:t>
      </w:r>
      <w:r>
        <w:rPr>
          <w:rFonts w:ascii="Times New Roman" w:hAnsi="Times New Roman" w:hint="eastAsia"/>
          <w:kern w:val="0"/>
          <w:szCs w:val="20"/>
        </w:rPr>
        <w:t>系统</w:t>
      </w:r>
      <w:r>
        <w:rPr>
          <w:rFonts w:hint="eastAsia"/>
        </w:rPr>
        <w:t>运行数据类等，参见附录</w:t>
      </w:r>
      <w:r>
        <w:rPr>
          <w:rFonts w:hint="eastAsia"/>
        </w:rPr>
        <w:t>A</w:t>
      </w:r>
      <w:r>
        <w:rPr>
          <w:rFonts w:hint="eastAsia"/>
        </w:rPr>
        <w:t>。</w:t>
      </w:r>
    </w:p>
    <w:p w14:paraId="78368A25" w14:textId="77777777" w:rsidR="00A054B7" w:rsidRDefault="00A054B7" w:rsidP="00A054B7">
      <w:pPr>
        <w:pStyle w:val="affc"/>
        <w:spacing w:before="312" w:after="312"/>
      </w:pPr>
      <w:bookmarkStart w:id="56" w:name="_Toc6550"/>
      <w:bookmarkStart w:id="57" w:name="_Toc217380770"/>
      <w:r>
        <w:rPr>
          <w:rFonts w:hint="eastAsia"/>
        </w:rPr>
        <w:lastRenderedPageBreak/>
        <w:t>数据存储</w:t>
      </w:r>
      <w:bookmarkEnd w:id="56"/>
      <w:bookmarkEnd w:id="57"/>
    </w:p>
    <w:p w14:paraId="5F5EB356" w14:textId="77777777" w:rsidR="00A054B7" w:rsidRDefault="00A054B7" w:rsidP="00A054B7">
      <w:pPr>
        <w:pStyle w:val="affd"/>
        <w:spacing w:before="156" w:after="156"/>
      </w:pPr>
      <w:r>
        <w:rPr>
          <w:rFonts w:hint="eastAsia"/>
        </w:rPr>
        <w:t xml:space="preserve"> </w:t>
      </w:r>
      <w:bookmarkStart w:id="58" w:name="_Toc15520"/>
      <w:r>
        <w:rPr>
          <w:rFonts w:hint="eastAsia"/>
        </w:rPr>
        <w:t>存储架构</w:t>
      </w:r>
      <w:bookmarkEnd w:id="58"/>
    </w:p>
    <w:p w14:paraId="4F12DADC" w14:textId="77777777" w:rsidR="00A054B7" w:rsidRDefault="00A054B7" w:rsidP="00A054B7">
      <w:pPr>
        <w:pStyle w:val="afffff5"/>
        <w:spacing w:beforeLines="50" w:before="156" w:afterLines="50" w:after="156"/>
        <w:ind w:firstLine="420"/>
      </w:pPr>
      <w:r>
        <w:rPr>
          <w:rFonts w:hint="eastAsia"/>
        </w:rPr>
        <w:t>宜</w:t>
      </w:r>
      <w:r>
        <w:t>采用</w:t>
      </w:r>
      <w:r>
        <w:t>“</w:t>
      </w:r>
      <w:r>
        <w:t>本地+网络+云</w:t>
      </w:r>
      <w:r>
        <w:rPr>
          <w:rFonts w:hint="eastAsia"/>
        </w:rPr>
        <w:t>服务器</w:t>
      </w:r>
      <w:r>
        <w:t>”</w:t>
      </w:r>
      <w:r>
        <w:t>三级存储架构，</w:t>
      </w:r>
      <w:r>
        <w:rPr>
          <w:rFonts w:hint="eastAsia"/>
        </w:rPr>
        <w:t>依据</w:t>
      </w:r>
      <w:r>
        <w:t>数据</w:t>
      </w:r>
      <w:r>
        <w:rPr>
          <w:rFonts w:hint="eastAsia"/>
        </w:rPr>
        <w:t>安全等级划分</w:t>
      </w:r>
      <w:r>
        <w:t>自动调度存储位置</w:t>
      </w:r>
      <w:r>
        <w:rPr>
          <w:rFonts w:hint="eastAsia"/>
        </w:rPr>
        <w:t>。</w:t>
      </w:r>
    </w:p>
    <w:p w14:paraId="216303FD" w14:textId="77777777" w:rsidR="00A054B7" w:rsidRDefault="00A054B7" w:rsidP="00A054B7">
      <w:pPr>
        <w:pStyle w:val="affd"/>
        <w:spacing w:before="156" w:after="156"/>
      </w:pPr>
      <w:r>
        <w:rPr>
          <w:rFonts w:hint="eastAsia"/>
        </w:rPr>
        <w:t xml:space="preserve"> </w:t>
      </w:r>
      <w:bookmarkStart w:id="59" w:name="_Toc11619"/>
      <w:r>
        <w:rPr>
          <w:rFonts w:hint="eastAsia"/>
        </w:rPr>
        <w:t>存储要求</w:t>
      </w:r>
      <w:bookmarkEnd w:id="59"/>
    </w:p>
    <w:p w14:paraId="6E9CC11F" w14:textId="2892947D" w:rsidR="00A054B7" w:rsidRDefault="00A054B7" w:rsidP="001B398D">
      <w:pPr>
        <w:pStyle w:val="af5"/>
        <w:numPr>
          <w:ilvl w:val="0"/>
          <w:numId w:val="0"/>
        </w:numPr>
        <w:ind w:left="851" w:hanging="426"/>
      </w:pPr>
      <w:r>
        <w:t>数据</w:t>
      </w:r>
      <w:r>
        <w:rPr>
          <w:rFonts w:hint="eastAsia"/>
        </w:rPr>
        <w:t>存储</w:t>
      </w:r>
      <w:r>
        <w:t>功能要求如下：</w:t>
      </w:r>
    </w:p>
    <w:p w14:paraId="0EA9B5A8" w14:textId="3C0ACE89" w:rsidR="00A054B7" w:rsidRDefault="00A054B7" w:rsidP="001B398D">
      <w:pPr>
        <w:pStyle w:val="af5"/>
      </w:pPr>
      <w:r>
        <w:rPr>
          <w:rFonts w:hint="eastAsia"/>
        </w:rPr>
        <w:t>应</w:t>
      </w:r>
      <w:r>
        <w:t>选用高稳定性</w:t>
      </w:r>
      <w:r>
        <w:rPr>
          <w:rFonts w:hint="eastAsia"/>
        </w:rPr>
        <w:t>的数据</w:t>
      </w:r>
      <w:r>
        <w:t>存储介质，</w:t>
      </w:r>
      <w:r>
        <w:rPr>
          <w:rFonts w:hint="eastAsia"/>
        </w:rPr>
        <w:t>宜在</w:t>
      </w:r>
      <w:r>
        <w:t>本地、网络、</w:t>
      </w:r>
      <w:r>
        <w:rPr>
          <w:rFonts w:hint="eastAsia"/>
        </w:rPr>
        <w:t>云服务器等多渠道进行存储；</w:t>
      </w:r>
    </w:p>
    <w:p w14:paraId="1FAA9705" w14:textId="77777777" w:rsidR="00A054B7" w:rsidRDefault="00A054B7" w:rsidP="001B398D">
      <w:pPr>
        <w:pStyle w:val="af5"/>
      </w:pPr>
      <w:r>
        <w:rPr>
          <w:rFonts w:hint="eastAsia"/>
        </w:rPr>
        <w:t>宜</w:t>
      </w:r>
      <w:r>
        <w:t>按数据类型、时间周期分类存储</w:t>
      </w:r>
      <w:r>
        <w:rPr>
          <w:rFonts w:hint="eastAsia"/>
        </w:rPr>
        <w:t>并能够</w:t>
      </w:r>
      <w:r>
        <w:t>精细索引提升查询效率</w:t>
      </w:r>
      <w:r>
        <w:rPr>
          <w:rFonts w:hint="eastAsia"/>
        </w:rPr>
        <w:t>；</w:t>
      </w:r>
    </w:p>
    <w:p w14:paraId="6E705C00" w14:textId="77777777" w:rsidR="00A054B7" w:rsidRDefault="00A054B7" w:rsidP="001B398D">
      <w:pPr>
        <w:pStyle w:val="af5"/>
      </w:pPr>
      <w:r>
        <w:rPr>
          <w:rFonts w:hint="eastAsia"/>
        </w:rPr>
        <w:t>应</w:t>
      </w:r>
      <w:r>
        <w:t>定期备份，异地加密存储并测试，保障数据完整可恢复</w:t>
      </w:r>
      <w:r>
        <w:rPr>
          <w:rFonts w:hint="eastAsia"/>
        </w:rPr>
        <w:t>；</w:t>
      </w:r>
    </w:p>
    <w:p w14:paraId="67866D40" w14:textId="77777777" w:rsidR="00A054B7" w:rsidRDefault="00A054B7" w:rsidP="001B398D">
      <w:pPr>
        <w:pStyle w:val="af5"/>
      </w:pPr>
      <w:r>
        <w:rPr>
          <w:rFonts w:hint="eastAsia"/>
        </w:rPr>
        <w:t>依据</w:t>
      </w:r>
      <w:r>
        <w:t>数据增长和业务需求规划存储容量，定期评估扩容防</w:t>
      </w:r>
      <w:r>
        <w:rPr>
          <w:rFonts w:hint="eastAsia"/>
        </w:rPr>
        <w:t>止</w:t>
      </w:r>
      <w:r>
        <w:t>数据丢失</w:t>
      </w:r>
      <w:r>
        <w:rPr>
          <w:rFonts w:hint="eastAsia"/>
        </w:rPr>
        <w:t>；</w:t>
      </w:r>
    </w:p>
    <w:p w14:paraId="2B1A16D4" w14:textId="77777777" w:rsidR="00A054B7" w:rsidRDefault="00A054B7" w:rsidP="001B398D">
      <w:pPr>
        <w:pStyle w:val="af5"/>
      </w:pPr>
      <w:r>
        <w:rPr>
          <w:rFonts w:hint="eastAsia"/>
        </w:rPr>
        <w:t>定期对</w:t>
      </w:r>
      <w:r>
        <w:t>具有长期保存价值的数据进行归档，</w:t>
      </w:r>
      <w:r>
        <w:rPr>
          <w:rFonts w:hint="eastAsia"/>
        </w:rPr>
        <w:t>明确</w:t>
      </w:r>
      <w:r>
        <w:t>不同类型数据的归档期限</w:t>
      </w:r>
      <w:r>
        <w:rPr>
          <w:rFonts w:hint="eastAsia"/>
        </w:rPr>
        <w:t>；</w:t>
      </w:r>
    </w:p>
    <w:p w14:paraId="22EA900B" w14:textId="77777777" w:rsidR="00A054B7" w:rsidRDefault="00A054B7" w:rsidP="001B398D">
      <w:pPr>
        <w:pStyle w:val="af5"/>
      </w:pPr>
      <w:r>
        <w:t>将归档数据转换为长期稳定的格式进行</w:t>
      </w:r>
      <w:r>
        <w:rPr>
          <w:rFonts w:hint="eastAsia"/>
        </w:rPr>
        <w:t>归档</w:t>
      </w:r>
      <w:r>
        <w:t>，并做好标识</w:t>
      </w:r>
      <w:r>
        <w:rPr>
          <w:rFonts w:hint="eastAsia"/>
        </w:rPr>
        <w:t>；</w:t>
      </w:r>
    </w:p>
    <w:p w14:paraId="1BA4C559" w14:textId="77777777" w:rsidR="00A054B7" w:rsidRDefault="00A054B7" w:rsidP="001B398D">
      <w:pPr>
        <w:pStyle w:val="af5"/>
      </w:pPr>
      <w:r>
        <w:t>建立归档数据检索</w:t>
      </w:r>
      <w:r>
        <w:rPr>
          <w:rFonts w:hint="eastAsia"/>
        </w:rPr>
        <w:t>目录</w:t>
      </w:r>
      <w:r>
        <w:t>，对归档数据进行定期备份，备份数据存储在异地，防止数据丢失。</w:t>
      </w:r>
    </w:p>
    <w:p w14:paraId="1B33A886" w14:textId="77777777" w:rsidR="00A054B7" w:rsidRDefault="00A054B7" w:rsidP="00A054B7">
      <w:pPr>
        <w:pStyle w:val="affc"/>
        <w:spacing w:before="312" w:after="312"/>
      </w:pPr>
      <w:bookmarkStart w:id="60" w:name="_Toc13858"/>
      <w:bookmarkStart w:id="61" w:name="_Toc217380771"/>
      <w:r>
        <w:rPr>
          <w:rFonts w:hint="eastAsia"/>
        </w:rPr>
        <w:t>数据传输</w:t>
      </w:r>
      <w:bookmarkEnd w:id="60"/>
      <w:bookmarkEnd w:id="61"/>
    </w:p>
    <w:p w14:paraId="27D4D135" w14:textId="77777777" w:rsidR="00A054B7" w:rsidRDefault="00A054B7" w:rsidP="00A054B7">
      <w:pPr>
        <w:pStyle w:val="affd"/>
        <w:spacing w:before="156" w:after="156"/>
      </w:pPr>
      <w:r>
        <w:rPr>
          <w:rFonts w:hint="eastAsia"/>
        </w:rPr>
        <w:t xml:space="preserve"> </w:t>
      </w:r>
      <w:bookmarkStart w:id="62" w:name="_Toc4284"/>
      <w:r>
        <w:rPr>
          <w:rFonts w:hint="eastAsia"/>
        </w:rPr>
        <w:t>传输方式</w:t>
      </w:r>
      <w:bookmarkEnd w:id="62"/>
    </w:p>
    <w:p w14:paraId="2A6A9E65" w14:textId="77777777" w:rsidR="00A054B7" w:rsidRDefault="00A054B7" w:rsidP="00A054B7">
      <w:pPr>
        <w:pStyle w:val="afffff5"/>
        <w:ind w:firstLine="420"/>
      </w:pPr>
      <w:r>
        <w:rPr>
          <w:rFonts w:hint="eastAsia"/>
        </w:rPr>
        <w:t>应</w:t>
      </w:r>
      <w:r>
        <w:t>支持有线网络、无线网络等多种数据传输方式，便于数据快速传输和共享。</w:t>
      </w:r>
    </w:p>
    <w:p w14:paraId="574B4EC0" w14:textId="77777777" w:rsidR="00A054B7" w:rsidRDefault="00A054B7" w:rsidP="00A054B7">
      <w:pPr>
        <w:pStyle w:val="affd"/>
        <w:spacing w:before="156" w:after="156"/>
      </w:pPr>
      <w:r>
        <w:rPr>
          <w:rFonts w:hint="eastAsia"/>
        </w:rPr>
        <w:t xml:space="preserve"> </w:t>
      </w:r>
      <w:bookmarkStart w:id="63" w:name="_Toc20638"/>
      <w:r>
        <w:rPr>
          <w:rFonts w:hint="eastAsia"/>
        </w:rPr>
        <w:t>传输要求</w:t>
      </w:r>
      <w:bookmarkEnd w:id="63"/>
    </w:p>
    <w:p w14:paraId="7F18EF37" w14:textId="77777777" w:rsidR="00A054B7" w:rsidRDefault="00A054B7" w:rsidP="00A054B7">
      <w:pPr>
        <w:pStyle w:val="afffff5"/>
        <w:ind w:firstLine="420"/>
      </w:pPr>
      <w:r>
        <w:t>数据</w:t>
      </w:r>
      <w:r>
        <w:rPr>
          <w:rFonts w:hint="eastAsia"/>
        </w:rPr>
        <w:t>传输</w:t>
      </w:r>
      <w:r>
        <w:t>功能要求如下：</w:t>
      </w:r>
    </w:p>
    <w:p w14:paraId="7A9E1E84" w14:textId="77777777" w:rsidR="00A054B7" w:rsidRDefault="00A054B7" w:rsidP="00A054B7">
      <w:pPr>
        <w:pStyle w:val="af5"/>
        <w:numPr>
          <w:ilvl w:val="0"/>
          <w:numId w:val="32"/>
        </w:numPr>
      </w:pPr>
      <w:r>
        <w:t>设计高效的数据传输协议，提高数据传输的效率和稳定性；</w:t>
      </w:r>
    </w:p>
    <w:p w14:paraId="1F05B2CE" w14:textId="77777777" w:rsidR="00A054B7" w:rsidRDefault="00A054B7" w:rsidP="00A054B7">
      <w:pPr>
        <w:pStyle w:val="af5"/>
      </w:pPr>
      <w:r>
        <w:t>采用数据压缩技术，减少数据传输的带宽需求；</w:t>
      </w:r>
    </w:p>
    <w:p w14:paraId="38A93E43" w14:textId="77777777" w:rsidR="00A054B7" w:rsidRDefault="00A054B7" w:rsidP="00A054B7">
      <w:pPr>
        <w:pStyle w:val="af5"/>
      </w:pPr>
      <w:r>
        <w:t>支持数据的断点续传和错误重传，确保数据的完整性；</w:t>
      </w:r>
    </w:p>
    <w:p w14:paraId="4FC6575F" w14:textId="77777777" w:rsidR="00A054B7" w:rsidRDefault="00A054B7" w:rsidP="00A054B7">
      <w:pPr>
        <w:pStyle w:val="af5"/>
      </w:pPr>
      <w:proofErr w:type="gramStart"/>
      <w:r>
        <w:rPr>
          <w:rFonts w:hint="eastAsia"/>
        </w:rPr>
        <w:t>宜</w:t>
      </w:r>
      <w:r>
        <w:t>支持</w:t>
      </w:r>
      <w:proofErr w:type="gramEnd"/>
      <w:r>
        <w:t>跨系统、跨地域数据实时同步，通过智能协同网关实现异构系统数据无缝对接与传输。</w:t>
      </w:r>
    </w:p>
    <w:p w14:paraId="0712B8D9" w14:textId="77777777" w:rsidR="00A054B7" w:rsidRDefault="00A054B7" w:rsidP="00A054B7">
      <w:pPr>
        <w:pStyle w:val="affc"/>
        <w:spacing w:before="312" w:after="312"/>
      </w:pPr>
      <w:bookmarkStart w:id="64" w:name="_Toc22364"/>
      <w:bookmarkStart w:id="65" w:name="_Toc217380772"/>
      <w:r>
        <w:rPr>
          <w:rFonts w:hint="eastAsia"/>
        </w:rPr>
        <w:t>数据使用</w:t>
      </w:r>
      <w:bookmarkEnd w:id="64"/>
      <w:bookmarkEnd w:id="65"/>
    </w:p>
    <w:p w14:paraId="744A0E6F" w14:textId="77777777" w:rsidR="00A054B7" w:rsidRDefault="00A054B7" w:rsidP="00A054B7">
      <w:pPr>
        <w:pStyle w:val="affd"/>
        <w:spacing w:before="156" w:after="156"/>
      </w:pPr>
      <w:r>
        <w:rPr>
          <w:rFonts w:hint="eastAsia"/>
        </w:rPr>
        <w:t xml:space="preserve"> </w:t>
      </w:r>
      <w:bookmarkStart w:id="66" w:name="_Toc4005"/>
      <w:r>
        <w:rPr>
          <w:rFonts w:hint="eastAsia"/>
        </w:rPr>
        <w:t>数据处理</w:t>
      </w:r>
      <w:bookmarkEnd w:id="66"/>
    </w:p>
    <w:p w14:paraId="58189B9A" w14:textId="77777777" w:rsidR="00A054B7" w:rsidRDefault="00A054B7" w:rsidP="00A054B7">
      <w:pPr>
        <w:pStyle w:val="afffff5"/>
        <w:ind w:firstLine="420"/>
      </w:pPr>
      <w:r>
        <w:t>数据处理功能要求如下：</w:t>
      </w:r>
    </w:p>
    <w:p w14:paraId="431656B6" w14:textId="77777777" w:rsidR="00A054B7" w:rsidRDefault="00A054B7" w:rsidP="00A054B7">
      <w:pPr>
        <w:pStyle w:val="af5"/>
        <w:numPr>
          <w:ilvl w:val="0"/>
          <w:numId w:val="33"/>
        </w:numPr>
      </w:pPr>
      <w:r>
        <w:t>可对采集到的大量数据进行快速、准确的处理和分析；</w:t>
      </w:r>
    </w:p>
    <w:p w14:paraId="4B094FF2" w14:textId="77777777" w:rsidR="00A054B7" w:rsidRDefault="00A054B7" w:rsidP="00A054B7">
      <w:pPr>
        <w:pStyle w:val="af5"/>
      </w:pPr>
      <w:r>
        <w:t>利用机器学习算法，如聚类、分类、回归等，对数据进行深度挖掘和分析，以提取有价值的 信息；</w:t>
      </w:r>
    </w:p>
    <w:p w14:paraId="3F4CC9DC" w14:textId="77777777" w:rsidR="00A054B7" w:rsidRDefault="00A054B7" w:rsidP="00A054B7">
      <w:pPr>
        <w:pStyle w:val="af5"/>
      </w:pPr>
      <w:r>
        <w:t>具备数据预处理、特征提取、模型训练等功能；</w:t>
      </w:r>
    </w:p>
    <w:p w14:paraId="7FE8D9AE" w14:textId="77777777" w:rsidR="00A054B7" w:rsidRDefault="00A054B7" w:rsidP="00A054B7">
      <w:pPr>
        <w:pStyle w:val="af5"/>
      </w:pPr>
      <w:r>
        <w:t>具有自我学习和优化的能力，可独立承担分析、判断、决策等任务，如预测设备的维修需 求，从而提前进行维护，避免因设备故障导致的生产中断</w:t>
      </w:r>
      <w:r>
        <w:rPr>
          <w:rFonts w:hint="eastAsia"/>
        </w:rPr>
        <w:t>。</w:t>
      </w:r>
    </w:p>
    <w:p w14:paraId="22F3E378" w14:textId="77777777" w:rsidR="00A054B7" w:rsidRDefault="00A054B7" w:rsidP="00A054B7">
      <w:pPr>
        <w:pStyle w:val="affd"/>
        <w:spacing w:before="156" w:after="156"/>
      </w:pPr>
      <w:r>
        <w:rPr>
          <w:rFonts w:hint="eastAsia"/>
        </w:rPr>
        <w:t xml:space="preserve"> </w:t>
      </w:r>
      <w:bookmarkStart w:id="67" w:name="_Toc25134"/>
      <w:r>
        <w:rPr>
          <w:rFonts w:hint="eastAsia"/>
        </w:rPr>
        <w:t>数据控制</w:t>
      </w:r>
      <w:bookmarkEnd w:id="67"/>
    </w:p>
    <w:p w14:paraId="016A44CB" w14:textId="77777777" w:rsidR="00A054B7" w:rsidRDefault="00A054B7" w:rsidP="00A054B7">
      <w:pPr>
        <w:pStyle w:val="afffff5"/>
        <w:ind w:firstLine="420"/>
      </w:pPr>
      <w:r>
        <w:t>数据控制功能要求如下：</w:t>
      </w:r>
    </w:p>
    <w:p w14:paraId="64DDDD2F" w14:textId="77777777" w:rsidR="00A054B7" w:rsidRDefault="00A054B7" w:rsidP="00A054B7">
      <w:pPr>
        <w:pStyle w:val="af5"/>
        <w:numPr>
          <w:ilvl w:val="0"/>
          <w:numId w:val="34"/>
        </w:numPr>
      </w:pPr>
      <w:r>
        <w:t>可根据数据处理系统的分析结果，自动调整实验室内设备的运行状态</w:t>
      </w:r>
      <w:r>
        <w:rPr>
          <w:rFonts w:hint="eastAsia"/>
        </w:rPr>
        <w:t>；</w:t>
      </w:r>
    </w:p>
    <w:p w14:paraId="2E7B522E" w14:textId="77777777" w:rsidR="00A054B7" w:rsidRDefault="00A054B7" w:rsidP="00A054B7">
      <w:pPr>
        <w:pStyle w:val="af5"/>
      </w:pPr>
      <w:r>
        <w:lastRenderedPageBreak/>
        <w:t>支持远程控制和监控，实现实验室的</w:t>
      </w:r>
      <w:proofErr w:type="gramStart"/>
      <w:r>
        <w:t>无人</w:t>
      </w:r>
      <w:r w:rsidRPr="005A0C17">
        <w:t>化</w:t>
      </w:r>
      <w:proofErr w:type="gramEnd"/>
      <w:r w:rsidRPr="005A0C17">
        <w:rPr>
          <w:rFonts w:hint="eastAsia"/>
        </w:rPr>
        <w:t>管控</w:t>
      </w:r>
      <w:r w:rsidRPr="005A0C17">
        <w:t>；</w:t>
      </w:r>
    </w:p>
    <w:p w14:paraId="4C0C888D" w14:textId="77777777" w:rsidR="00A054B7" w:rsidRDefault="00A054B7" w:rsidP="00A054B7">
      <w:pPr>
        <w:pStyle w:val="af5"/>
      </w:pPr>
      <w:r>
        <w:t>具备故障诊断和预警功能，可及时发现和处理问题，同时可通过多种方式（如短信、语音 播报、语音呼叫、邮件等）方式通知相关责任人；</w:t>
      </w:r>
    </w:p>
    <w:p w14:paraId="17DF5AE6" w14:textId="77777777" w:rsidR="00A054B7" w:rsidRDefault="00A054B7" w:rsidP="00A054B7">
      <w:pPr>
        <w:pStyle w:val="af5"/>
      </w:pPr>
      <w:r>
        <w:t>支持定时任务调度，提高实验室的工作效率</w:t>
      </w:r>
      <w:r>
        <w:rPr>
          <w:rFonts w:hint="eastAsia"/>
        </w:rPr>
        <w:t>。</w:t>
      </w:r>
    </w:p>
    <w:p w14:paraId="6EAEDC94" w14:textId="77777777" w:rsidR="00A054B7" w:rsidRDefault="00A054B7" w:rsidP="00A054B7">
      <w:pPr>
        <w:pStyle w:val="affd"/>
        <w:spacing w:before="156" w:after="156"/>
      </w:pPr>
      <w:r>
        <w:rPr>
          <w:rFonts w:hint="eastAsia"/>
        </w:rPr>
        <w:t xml:space="preserve"> </w:t>
      </w:r>
      <w:bookmarkStart w:id="68" w:name="_Toc5523"/>
      <w:r>
        <w:rPr>
          <w:rFonts w:hint="eastAsia"/>
        </w:rPr>
        <w:t>数据执行</w:t>
      </w:r>
      <w:bookmarkEnd w:id="68"/>
    </w:p>
    <w:p w14:paraId="45510E5B" w14:textId="77777777" w:rsidR="00A054B7" w:rsidRDefault="00A054B7" w:rsidP="00A054B7">
      <w:pPr>
        <w:pStyle w:val="afffff5"/>
        <w:ind w:firstLine="420"/>
      </w:pPr>
      <w:r>
        <w:t>数据执行功能要求如下：</w:t>
      </w:r>
    </w:p>
    <w:p w14:paraId="51A084CF" w14:textId="77777777" w:rsidR="00A054B7" w:rsidRDefault="00A054B7" w:rsidP="00A054B7">
      <w:pPr>
        <w:pStyle w:val="af5"/>
        <w:numPr>
          <w:ilvl w:val="0"/>
          <w:numId w:val="35"/>
        </w:numPr>
      </w:pPr>
      <w:r>
        <w:t>接收并处理来自数据控制系统的指令，实现对数据的高效、准确和安全的处理，执行实 验室内设备的运行任务；</w:t>
      </w:r>
    </w:p>
    <w:p w14:paraId="1613EB8B" w14:textId="77777777" w:rsidR="00A054B7" w:rsidRDefault="00A054B7" w:rsidP="00A054B7">
      <w:pPr>
        <w:pStyle w:val="af5"/>
      </w:pPr>
      <w:r>
        <w:t>支持多设备协同工作，实现实验室内设备的高效利用；</w:t>
      </w:r>
    </w:p>
    <w:p w14:paraId="153FEE05" w14:textId="77777777" w:rsidR="00A054B7" w:rsidRDefault="00A054B7" w:rsidP="00A054B7">
      <w:pPr>
        <w:pStyle w:val="af5"/>
      </w:pPr>
      <w:r>
        <w:t>应具备高并发处理能力，可在短时间内处理大量的数据请求；</w:t>
      </w:r>
    </w:p>
    <w:p w14:paraId="509AE3F9" w14:textId="77777777" w:rsidR="00A054B7" w:rsidRDefault="00A054B7" w:rsidP="00A054B7">
      <w:pPr>
        <w:pStyle w:val="af5"/>
      </w:pPr>
      <w:r>
        <w:t>应具备日志记录功能，可记录数据处理的详细过程，便于后期的审计和分析；</w:t>
      </w:r>
    </w:p>
    <w:p w14:paraId="61289D19" w14:textId="77777777" w:rsidR="00A054B7" w:rsidRDefault="00A054B7" w:rsidP="00A054B7">
      <w:pPr>
        <w:pStyle w:val="af5"/>
      </w:pPr>
      <w:r>
        <w:t>应具备性能监控功能，可实时监控系统的运行状态，及时发现并解决性能问题。</w:t>
      </w:r>
    </w:p>
    <w:p w14:paraId="6E1FB985" w14:textId="77777777" w:rsidR="00A054B7" w:rsidRDefault="00A054B7" w:rsidP="00A054B7">
      <w:pPr>
        <w:pStyle w:val="affd"/>
        <w:spacing w:before="156" w:after="156"/>
      </w:pPr>
      <w:r>
        <w:rPr>
          <w:rFonts w:hint="eastAsia"/>
        </w:rPr>
        <w:t xml:space="preserve"> </w:t>
      </w:r>
      <w:bookmarkStart w:id="69" w:name="_Toc25301"/>
      <w:r>
        <w:rPr>
          <w:rFonts w:hint="eastAsia"/>
        </w:rPr>
        <w:t>数据展示</w:t>
      </w:r>
      <w:bookmarkEnd w:id="69"/>
    </w:p>
    <w:p w14:paraId="521D23AB" w14:textId="77777777" w:rsidR="00A054B7" w:rsidRDefault="00A054B7" w:rsidP="00A054B7">
      <w:pPr>
        <w:pStyle w:val="afffff5"/>
        <w:ind w:firstLine="420"/>
      </w:pPr>
      <w:r>
        <w:t>数据展示功能要求如下：</w:t>
      </w:r>
    </w:p>
    <w:p w14:paraId="42EE36CE" w14:textId="77777777" w:rsidR="00A054B7" w:rsidRDefault="00A054B7" w:rsidP="00A054B7">
      <w:pPr>
        <w:pStyle w:val="af5"/>
        <w:numPr>
          <w:ilvl w:val="0"/>
          <w:numId w:val="36"/>
        </w:numPr>
      </w:pPr>
      <w:r>
        <w:t>提供友好的用户界面，便于实验室管理人员查看和理解数据；</w:t>
      </w:r>
    </w:p>
    <w:p w14:paraId="47B954F4" w14:textId="77777777" w:rsidR="00A054B7" w:rsidRDefault="00A054B7" w:rsidP="00A054B7">
      <w:pPr>
        <w:pStyle w:val="af5"/>
      </w:pPr>
      <w:r>
        <w:t>支持数据的可视化展示，如数字孪生、图表、地图等形式；</w:t>
      </w:r>
    </w:p>
    <w:p w14:paraId="2BFCDF7F" w14:textId="77777777" w:rsidR="00A054B7" w:rsidRDefault="00A054B7" w:rsidP="00A054B7">
      <w:pPr>
        <w:pStyle w:val="af5"/>
      </w:pPr>
      <w:r>
        <w:t>支持数据的筛选、排序和查询功能，满足实验室管理人员的不同需求；</w:t>
      </w:r>
    </w:p>
    <w:p w14:paraId="1F16D039" w14:textId="77777777" w:rsidR="00A054B7" w:rsidRDefault="00A054B7" w:rsidP="00A054B7">
      <w:pPr>
        <w:pStyle w:val="af5"/>
      </w:pPr>
      <w:r>
        <w:t>支持数据的导出和打印，方便实验室管理人员进行报告和交流。</w:t>
      </w:r>
    </w:p>
    <w:p w14:paraId="493EE051" w14:textId="77777777" w:rsidR="00A054B7" w:rsidRDefault="00A054B7" w:rsidP="00A054B7">
      <w:pPr>
        <w:pStyle w:val="affd"/>
        <w:spacing w:before="156" w:after="156"/>
      </w:pPr>
      <w:r>
        <w:rPr>
          <w:rFonts w:hint="eastAsia"/>
        </w:rPr>
        <w:t xml:space="preserve"> </w:t>
      </w:r>
      <w:bookmarkStart w:id="70" w:name="_Toc19307"/>
      <w:r>
        <w:rPr>
          <w:rFonts w:hint="eastAsia"/>
        </w:rPr>
        <w:t>数据分析</w:t>
      </w:r>
      <w:bookmarkEnd w:id="70"/>
    </w:p>
    <w:p w14:paraId="0C305374" w14:textId="77777777" w:rsidR="00A054B7" w:rsidRDefault="00A054B7" w:rsidP="00A054B7">
      <w:pPr>
        <w:pStyle w:val="afffff5"/>
        <w:ind w:firstLine="420"/>
      </w:pPr>
      <w:r>
        <w:t>数据分析功能要求如下：</w:t>
      </w:r>
    </w:p>
    <w:p w14:paraId="34FE3C51" w14:textId="77777777" w:rsidR="00A054B7" w:rsidRDefault="00A054B7" w:rsidP="00A054B7">
      <w:pPr>
        <w:pStyle w:val="af5"/>
        <w:numPr>
          <w:ilvl w:val="0"/>
          <w:numId w:val="37"/>
        </w:numPr>
      </w:pPr>
      <w:r>
        <w:t>可对实验室内产生的大量数据进行深入分析和挖掘；</w:t>
      </w:r>
    </w:p>
    <w:p w14:paraId="185CCB97" w14:textId="77777777" w:rsidR="00A054B7" w:rsidRDefault="00A054B7" w:rsidP="00A054B7">
      <w:pPr>
        <w:pStyle w:val="af5"/>
      </w:pPr>
      <w:r>
        <w:t>支持多种数据分析方法和工具，以满足不同研究目的的需求；</w:t>
      </w:r>
    </w:p>
    <w:p w14:paraId="3AFB235E" w14:textId="77777777" w:rsidR="00A054B7" w:rsidRDefault="00A054B7" w:rsidP="00A054B7">
      <w:pPr>
        <w:pStyle w:val="af5"/>
      </w:pPr>
      <w:r>
        <w:t>具备数据预测、优化和决策支持等功能，提高实验室的研究水平</w:t>
      </w:r>
      <w:r>
        <w:rPr>
          <w:rFonts w:hint="eastAsia"/>
        </w:rPr>
        <w:t>。</w:t>
      </w:r>
    </w:p>
    <w:p w14:paraId="4F8899E0" w14:textId="77777777" w:rsidR="00A054B7" w:rsidRDefault="00A054B7" w:rsidP="00A054B7">
      <w:pPr>
        <w:pStyle w:val="affc"/>
        <w:spacing w:before="312" w:after="312"/>
      </w:pPr>
      <w:bookmarkStart w:id="71" w:name="_Toc19595"/>
      <w:bookmarkStart w:id="72" w:name="_Toc217380773"/>
      <w:r>
        <w:rPr>
          <w:rFonts w:hint="eastAsia"/>
        </w:rPr>
        <w:t>数据共享</w:t>
      </w:r>
      <w:bookmarkEnd w:id="71"/>
      <w:bookmarkEnd w:id="72"/>
    </w:p>
    <w:p w14:paraId="46840037" w14:textId="77777777" w:rsidR="00A054B7" w:rsidRDefault="00A054B7" w:rsidP="00A054B7">
      <w:pPr>
        <w:pStyle w:val="affd"/>
        <w:spacing w:before="156" w:after="156"/>
      </w:pPr>
      <w:bookmarkStart w:id="73" w:name="_Toc21687"/>
      <w:r>
        <w:rPr>
          <w:rFonts w:hint="eastAsia"/>
        </w:rPr>
        <w:t>共享原则</w:t>
      </w:r>
      <w:bookmarkEnd w:id="73"/>
    </w:p>
    <w:p w14:paraId="51090FA7" w14:textId="77777777" w:rsidR="00A054B7" w:rsidRDefault="00A054B7" w:rsidP="00A054B7">
      <w:pPr>
        <w:pStyle w:val="afffff5"/>
        <w:ind w:firstLine="420"/>
      </w:pPr>
      <w:r>
        <w:t>数据共享应遵循以下</w:t>
      </w:r>
      <w:r>
        <w:rPr>
          <w:rFonts w:hint="eastAsia"/>
        </w:rPr>
        <w:t>原则</w:t>
      </w:r>
      <w:r>
        <w:t>：</w:t>
      </w:r>
    </w:p>
    <w:p w14:paraId="63AA530E" w14:textId="77777777" w:rsidR="00A054B7" w:rsidRDefault="00A054B7" w:rsidP="00A054B7">
      <w:pPr>
        <w:pStyle w:val="af5"/>
        <w:numPr>
          <w:ilvl w:val="0"/>
          <w:numId w:val="38"/>
        </w:numPr>
      </w:pPr>
      <w:r>
        <w:t>在数据共享前，对涉及隐私、商业机密的数据进行脱敏处理</w:t>
      </w:r>
      <w:r>
        <w:rPr>
          <w:rFonts w:hint="eastAsia"/>
        </w:rPr>
        <w:t>；</w:t>
      </w:r>
    </w:p>
    <w:p w14:paraId="184134AD" w14:textId="77777777" w:rsidR="00A054B7" w:rsidRDefault="00A054B7" w:rsidP="00A054B7">
      <w:pPr>
        <w:pStyle w:val="af5"/>
      </w:pPr>
      <w:r>
        <w:t>严格遵守法规，签共享协议明确权责，确保数据共享合法合</w:t>
      </w:r>
      <w:proofErr w:type="gramStart"/>
      <w:r>
        <w:t>规</w:t>
      </w:r>
      <w:proofErr w:type="gramEnd"/>
      <w:r>
        <w:rPr>
          <w:rFonts w:hint="eastAsia"/>
        </w:rPr>
        <w:t>；</w:t>
      </w:r>
    </w:p>
    <w:p w14:paraId="188E9C9A" w14:textId="77777777" w:rsidR="00A054B7" w:rsidRDefault="00A054B7" w:rsidP="00A054B7">
      <w:pPr>
        <w:pStyle w:val="af5"/>
      </w:pPr>
      <w:r>
        <w:t>建</w:t>
      </w:r>
      <w:r>
        <w:rPr>
          <w:rFonts w:hint="eastAsia"/>
        </w:rPr>
        <w:t>立</w:t>
      </w:r>
      <w:r>
        <w:t>共享交换日志，记录关键信息，实现数据共享全程可追溯</w:t>
      </w:r>
      <w:r>
        <w:rPr>
          <w:rFonts w:hint="eastAsia"/>
        </w:rPr>
        <w:t>。</w:t>
      </w:r>
    </w:p>
    <w:p w14:paraId="321A8BEC" w14:textId="77777777" w:rsidR="00A054B7" w:rsidRDefault="00A054B7" w:rsidP="00A054B7">
      <w:pPr>
        <w:pStyle w:val="affd"/>
        <w:spacing w:before="156" w:after="156"/>
      </w:pPr>
      <w:r>
        <w:rPr>
          <w:rFonts w:hint="eastAsia"/>
        </w:rPr>
        <w:t xml:space="preserve"> </w:t>
      </w:r>
      <w:bookmarkStart w:id="74" w:name="_Toc9469"/>
      <w:r>
        <w:rPr>
          <w:rFonts w:hint="eastAsia"/>
        </w:rPr>
        <w:t>内部共享</w:t>
      </w:r>
      <w:bookmarkEnd w:id="74"/>
    </w:p>
    <w:p w14:paraId="3F76BD9E" w14:textId="77777777" w:rsidR="00A054B7" w:rsidRDefault="00A054B7" w:rsidP="00A054B7">
      <w:pPr>
        <w:pStyle w:val="afffff5"/>
        <w:ind w:firstLine="420"/>
      </w:pPr>
      <w:r>
        <w:rPr>
          <w:rFonts w:hint="eastAsia"/>
        </w:rPr>
        <w:t>内部共享</w:t>
      </w:r>
      <w:r>
        <w:t>功能要求如下：</w:t>
      </w:r>
    </w:p>
    <w:p w14:paraId="49552AEB" w14:textId="77777777" w:rsidR="00A054B7" w:rsidRDefault="00A054B7" w:rsidP="00A054B7">
      <w:pPr>
        <w:pStyle w:val="af5"/>
        <w:numPr>
          <w:ilvl w:val="0"/>
          <w:numId w:val="39"/>
        </w:numPr>
      </w:pPr>
      <w:r>
        <w:t>搭建内部智能共享平台，通过数字孪生技术实现跨部门数据可视化协同，提升决策效率</w:t>
      </w:r>
      <w:r>
        <w:rPr>
          <w:rFonts w:hint="eastAsia"/>
        </w:rPr>
        <w:t>；</w:t>
      </w:r>
    </w:p>
    <w:p w14:paraId="635C4F03" w14:textId="77777777" w:rsidR="00A054B7" w:rsidRDefault="00A054B7" w:rsidP="00A054B7">
      <w:pPr>
        <w:pStyle w:val="af5"/>
      </w:pPr>
      <w:r>
        <w:t>共享范围</w:t>
      </w:r>
      <w:r>
        <w:rPr>
          <w:rFonts w:hint="eastAsia"/>
        </w:rPr>
        <w:t>包含</w:t>
      </w:r>
      <w:r>
        <w:t>企业内部生产、研发、质量等部门，以及LIMS、MES、ERP等业务系统，支持跨部门、跨系统数据无缝流转</w:t>
      </w:r>
      <w:r>
        <w:rPr>
          <w:rFonts w:hint="eastAsia"/>
        </w:rPr>
        <w:t>；</w:t>
      </w:r>
    </w:p>
    <w:p w14:paraId="67501787" w14:textId="77777777" w:rsidR="00A054B7" w:rsidRDefault="00A054B7" w:rsidP="00A054B7">
      <w:pPr>
        <w:pStyle w:val="af5"/>
      </w:pPr>
      <w:r>
        <w:rPr>
          <w:rFonts w:hint="eastAsia"/>
        </w:rPr>
        <w:t>宜根据</w:t>
      </w:r>
      <w:r>
        <w:t>用户岗位、职责、业务场景分配内部共享权限，实现数据</w:t>
      </w:r>
      <w:r>
        <w:t>“</w:t>
      </w:r>
      <w:r>
        <w:t>按需可见、按需可用</w:t>
      </w:r>
      <w:r>
        <w:t>”</w:t>
      </w:r>
      <w:r>
        <w:rPr>
          <w:rFonts w:hint="eastAsia"/>
        </w:rPr>
        <w:t>；</w:t>
      </w:r>
    </w:p>
    <w:p w14:paraId="06A39666" w14:textId="77777777" w:rsidR="00A054B7" w:rsidRDefault="00A054B7" w:rsidP="00A054B7">
      <w:pPr>
        <w:pStyle w:val="af5"/>
      </w:pPr>
      <w:r>
        <w:rPr>
          <w:rFonts w:hint="eastAsia"/>
        </w:rPr>
        <w:t>应</w:t>
      </w:r>
      <w:r>
        <w:t>具备内部共享审计功能，自动记录数据访问、下载、使用等操作轨迹，支持追溯与合</w:t>
      </w:r>
      <w:proofErr w:type="gramStart"/>
      <w:r>
        <w:t>规</w:t>
      </w:r>
      <w:proofErr w:type="gramEnd"/>
      <w:r>
        <w:t>核查。</w:t>
      </w:r>
    </w:p>
    <w:p w14:paraId="4CCD804D" w14:textId="77777777" w:rsidR="00A054B7" w:rsidRDefault="00A054B7" w:rsidP="00A054B7">
      <w:pPr>
        <w:pStyle w:val="affd"/>
        <w:spacing w:before="156" w:after="156"/>
      </w:pPr>
      <w:r>
        <w:rPr>
          <w:rFonts w:hint="eastAsia"/>
        </w:rPr>
        <w:lastRenderedPageBreak/>
        <w:t xml:space="preserve"> </w:t>
      </w:r>
      <w:bookmarkStart w:id="75" w:name="_Toc6008"/>
      <w:r>
        <w:rPr>
          <w:rFonts w:hint="eastAsia"/>
        </w:rPr>
        <w:t>外部共享</w:t>
      </w:r>
      <w:bookmarkEnd w:id="75"/>
    </w:p>
    <w:p w14:paraId="02BFDB20" w14:textId="77777777" w:rsidR="00A054B7" w:rsidRDefault="00A054B7" w:rsidP="00A054B7">
      <w:pPr>
        <w:pStyle w:val="afffff5"/>
        <w:ind w:firstLine="420"/>
      </w:pPr>
      <w:r>
        <w:rPr>
          <w:rFonts w:hint="eastAsia"/>
        </w:rPr>
        <w:t>外部共享</w:t>
      </w:r>
      <w:r>
        <w:t>功能要求如下：</w:t>
      </w:r>
    </w:p>
    <w:p w14:paraId="1546033D" w14:textId="77777777" w:rsidR="00A054B7" w:rsidRPr="006C45DA" w:rsidRDefault="00A054B7" w:rsidP="00A054B7">
      <w:pPr>
        <w:pStyle w:val="af5"/>
        <w:numPr>
          <w:ilvl w:val="0"/>
          <w:numId w:val="42"/>
        </w:numPr>
      </w:pPr>
      <w:r>
        <w:t>建立外部</w:t>
      </w:r>
      <w:r>
        <w:rPr>
          <w:rFonts w:hint="eastAsia"/>
        </w:rPr>
        <w:t>有条件</w:t>
      </w:r>
      <w:r>
        <w:t>共享机制，共享前核查数据是否符合法规要求，不符合则自动拦截并提示</w:t>
      </w:r>
      <w:r>
        <w:rPr>
          <w:rFonts w:hint="eastAsia"/>
        </w:rPr>
        <w:t>；</w:t>
      </w:r>
    </w:p>
    <w:p w14:paraId="39F6FFDF" w14:textId="77777777" w:rsidR="00A054B7" w:rsidRDefault="00A054B7" w:rsidP="00A054B7">
      <w:pPr>
        <w:pStyle w:val="af5"/>
        <w:numPr>
          <w:ilvl w:val="0"/>
          <w:numId w:val="42"/>
        </w:numPr>
      </w:pPr>
      <w:r>
        <w:t>记录外部共享全流程，确保共享</w:t>
      </w:r>
      <w:r>
        <w:rPr>
          <w:rFonts w:hint="eastAsia"/>
        </w:rPr>
        <w:t>数据</w:t>
      </w:r>
      <w:r>
        <w:t>不可篡改、全程可追溯</w:t>
      </w:r>
      <w:r>
        <w:rPr>
          <w:rFonts w:hint="eastAsia"/>
        </w:rPr>
        <w:t>；</w:t>
      </w:r>
    </w:p>
    <w:p w14:paraId="53C2EE25" w14:textId="77777777" w:rsidR="00A054B7" w:rsidRDefault="00A054B7" w:rsidP="00A054B7">
      <w:pPr>
        <w:pStyle w:val="af5"/>
        <w:numPr>
          <w:ilvl w:val="0"/>
          <w:numId w:val="42"/>
        </w:numPr>
      </w:pPr>
      <w:r>
        <w:t>共享对象包括监管部门、上下游合作企业等外部合法主体，共享数据需合法</w:t>
      </w:r>
      <w:r>
        <w:rPr>
          <w:rFonts w:hint="eastAsia"/>
        </w:rPr>
        <w:t>合</w:t>
      </w:r>
      <w:proofErr w:type="gramStart"/>
      <w:r>
        <w:t>规</w:t>
      </w:r>
      <w:proofErr w:type="gramEnd"/>
      <w:r>
        <w:rPr>
          <w:rFonts w:hint="eastAsia"/>
        </w:rPr>
        <w:t>；</w:t>
      </w:r>
    </w:p>
    <w:p w14:paraId="7836DD00" w14:textId="77777777" w:rsidR="00A054B7" w:rsidRDefault="00A054B7" w:rsidP="00A054B7">
      <w:pPr>
        <w:pStyle w:val="af5"/>
        <w:numPr>
          <w:ilvl w:val="0"/>
          <w:numId w:val="42"/>
        </w:numPr>
      </w:pPr>
      <w:r>
        <w:t>对涉及商业机密、隐私的高敏感数据采用模糊化、屏蔽化、替换等智能脱敏处理</w:t>
      </w:r>
      <w:r>
        <w:rPr>
          <w:rFonts w:hint="eastAsia"/>
        </w:rPr>
        <w:t>。</w:t>
      </w:r>
    </w:p>
    <w:p w14:paraId="6BC947DA" w14:textId="77777777" w:rsidR="00A054B7" w:rsidRDefault="00A054B7" w:rsidP="00A054B7">
      <w:pPr>
        <w:pStyle w:val="affc"/>
        <w:spacing w:before="312" w:after="312"/>
      </w:pPr>
      <w:bookmarkStart w:id="76" w:name="_Toc32017"/>
      <w:bookmarkStart w:id="77" w:name="_Toc217380774"/>
      <w:r>
        <w:rPr>
          <w:rFonts w:hint="eastAsia"/>
        </w:rPr>
        <w:t>数据安全</w:t>
      </w:r>
      <w:bookmarkEnd w:id="76"/>
      <w:bookmarkEnd w:id="77"/>
    </w:p>
    <w:p w14:paraId="23D663F8" w14:textId="77777777" w:rsidR="00A054B7" w:rsidRPr="005A0C17" w:rsidRDefault="00A054B7" w:rsidP="00A054B7">
      <w:pPr>
        <w:pStyle w:val="afffff5"/>
        <w:ind w:firstLine="420"/>
      </w:pPr>
      <w:r w:rsidRPr="005A0C17">
        <w:t>数据安全功能要求如下：</w:t>
      </w:r>
    </w:p>
    <w:p w14:paraId="72C5D89D" w14:textId="77777777" w:rsidR="00A054B7" w:rsidRPr="005A0C17" w:rsidRDefault="00A054B7" w:rsidP="00A054B7">
      <w:pPr>
        <w:pStyle w:val="af5"/>
        <w:numPr>
          <w:ilvl w:val="0"/>
          <w:numId w:val="40"/>
        </w:numPr>
      </w:pPr>
      <w:r w:rsidRPr="005A0C17">
        <w:t>数据安全</w:t>
      </w:r>
      <w:r w:rsidRPr="005A0C17">
        <w:rPr>
          <w:rFonts w:hint="eastAsia"/>
        </w:rPr>
        <w:t>规章</w:t>
      </w:r>
      <w:r w:rsidRPr="005A0C17">
        <w:t>制度</w:t>
      </w:r>
      <w:r w:rsidRPr="005A0C17">
        <w:rPr>
          <w:rFonts w:hint="eastAsia"/>
        </w:rPr>
        <w:t>应符合</w:t>
      </w:r>
      <w:r w:rsidRPr="005A0C17">
        <w:t>GB/T 43708-2025</w:t>
      </w:r>
      <w:r w:rsidRPr="005A0C17">
        <w:rPr>
          <w:rFonts w:hint="eastAsia"/>
        </w:rPr>
        <w:t xml:space="preserve"> 8.6的要求；</w:t>
      </w:r>
    </w:p>
    <w:p w14:paraId="2B13EFBB" w14:textId="77777777" w:rsidR="00A054B7" w:rsidRPr="005A0C17" w:rsidRDefault="00A054B7" w:rsidP="00A054B7">
      <w:pPr>
        <w:pStyle w:val="af5"/>
        <w:numPr>
          <w:ilvl w:val="0"/>
          <w:numId w:val="40"/>
        </w:numPr>
      </w:pPr>
      <w:r w:rsidRPr="005A0C17">
        <w:rPr>
          <w:rFonts w:hint="eastAsia"/>
        </w:rPr>
        <w:t>数据传输交换的安全应符合</w:t>
      </w:r>
      <w:r w:rsidRPr="005A0C17">
        <w:t>GB/T 43708-2025</w:t>
      </w:r>
      <w:r w:rsidRPr="005A0C17">
        <w:rPr>
          <w:rFonts w:hint="eastAsia"/>
        </w:rPr>
        <w:t xml:space="preserve"> 6.3的要求；</w:t>
      </w:r>
    </w:p>
    <w:p w14:paraId="36E0939A" w14:textId="77777777" w:rsidR="00A054B7" w:rsidRPr="005A0C17" w:rsidRDefault="00A054B7" w:rsidP="00A054B7">
      <w:pPr>
        <w:pStyle w:val="af5"/>
        <w:numPr>
          <w:ilvl w:val="0"/>
          <w:numId w:val="40"/>
        </w:numPr>
      </w:pPr>
      <w:r w:rsidRPr="005A0C17">
        <w:t>权限</w:t>
      </w:r>
      <w:proofErr w:type="gramStart"/>
      <w:r w:rsidRPr="005A0C17">
        <w:t>管控功</w:t>
      </w:r>
      <w:r w:rsidRPr="005A0C17">
        <w:rPr>
          <w:rFonts w:hint="eastAsia"/>
        </w:rPr>
        <w:t>应</w:t>
      </w:r>
      <w:proofErr w:type="gramEnd"/>
      <w:r w:rsidRPr="005A0C17">
        <w:rPr>
          <w:rFonts w:hint="eastAsia"/>
        </w:rPr>
        <w:t>符合</w:t>
      </w:r>
      <w:r w:rsidRPr="005A0C17">
        <w:t>GB/T 43708-2025</w:t>
      </w:r>
      <w:r w:rsidRPr="005A0C17">
        <w:rPr>
          <w:rFonts w:hint="eastAsia"/>
        </w:rPr>
        <w:t xml:space="preserve"> 6.5.5和</w:t>
      </w:r>
      <w:r w:rsidRPr="005A0C17">
        <w:t>GB/T 43708-2025</w:t>
      </w:r>
      <w:r w:rsidRPr="005A0C17">
        <w:rPr>
          <w:rFonts w:hint="eastAsia"/>
        </w:rPr>
        <w:t xml:space="preserve"> 6.5.6的要求；</w:t>
      </w:r>
    </w:p>
    <w:p w14:paraId="608B5D66" w14:textId="77777777" w:rsidR="00A054B7" w:rsidRPr="005A0C17" w:rsidRDefault="00A054B7" w:rsidP="00A054B7">
      <w:pPr>
        <w:pStyle w:val="af5"/>
      </w:pPr>
      <w:r w:rsidRPr="005A0C17">
        <w:t>数据</w:t>
      </w:r>
      <w:r w:rsidRPr="005A0C17">
        <w:rPr>
          <w:rFonts w:hint="eastAsia"/>
        </w:rPr>
        <w:t>的存储</w:t>
      </w:r>
      <w:r w:rsidRPr="005A0C17">
        <w:t>备份</w:t>
      </w:r>
      <w:r w:rsidRPr="005A0C17">
        <w:rPr>
          <w:rFonts w:hint="eastAsia"/>
        </w:rPr>
        <w:t>安全应符合</w:t>
      </w:r>
      <w:r w:rsidRPr="005A0C17">
        <w:t>GB/T 43708-2025</w:t>
      </w:r>
      <w:r w:rsidRPr="005A0C17">
        <w:rPr>
          <w:rFonts w:hint="eastAsia"/>
        </w:rPr>
        <w:t xml:space="preserve"> 6.2的要求。</w:t>
      </w:r>
    </w:p>
    <w:p w14:paraId="5D8B05D1" w14:textId="77777777" w:rsidR="00A054B7" w:rsidRDefault="00A054B7" w:rsidP="00A054B7">
      <w:pPr>
        <w:pStyle w:val="affc"/>
        <w:spacing w:before="312" w:after="312"/>
      </w:pPr>
      <w:bookmarkStart w:id="78" w:name="_Toc8283"/>
      <w:bookmarkStart w:id="79" w:name="_Toc217380775"/>
      <w:r>
        <w:rPr>
          <w:rFonts w:hint="eastAsia"/>
        </w:rPr>
        <w:t>数据销毁</w:t>
      </w:r>
      <w:bookmarkEnd w:id="78"/>
      <w:bookmarkEnd w:id="79"/>
    </w:p>
    <w:p w14:paraId="396B151E" w14:textId="77777777" w:rsidR="00A054B7" w:rsidRDefault="00A054B7" w:rsidP="00A054B7">
      <w:pPr>
        <w:pStyle w:val="afffff5"/>
        <w:ind w:firstLine="420"/>
      </w:pPr>
      <w:r>
        <w:t>数据</w:t>
      </w:r>
      <w:r>
        <w:rPr>
          <w:rFonts w:hint="eastAsia"/>
        </w:rPr>
        <w:t>销毁</w:t>
      </w:r>
      <w:r>
        <w:t>功能要求如下：</w:t>
      </w:r>
    </w:p>
    <w:p w14:paraId="5C15F2D8" w14:textId="77777777" w:rsidR="00A054B7" w:rsidRDefault="00A054B7" w:rsidP="00A054B7">
      <w:pPr>
        <w:pStyle w:val="af5"/>
        <w:numPr>
          <w:ilvl w:val="0"/>
          <w:numId w:val="41"/>
        </w:numPr>
      </w:pPr>
      <w:r>
        <w:t>建立数据销毁与删除规程，明确数据销毁场景、方式及审批制度，记录数据销毁操作过程</w:t>
      </w:r>
      <w:r>
        <w:rPr>
          <w:rFonts w:hint="eastAsia"/>
        </w:rPr>
        <w:t>；</w:t>
      </w:r>
    </w:p>
    <w:p w14:paraId="5112253B" w14:textId="77777777" w:rsidR="00A054B7" w:rsidRDefault="00A054B7" w:rsidP="00A054B7">
      <w:pPr>
        <w:pStyle w:val="af5"/>
      </w:pPr>
      <w:r>
        <w:t>明确存储介质销毁处理方案</w:t>
      </w:r>
      <w:r w:rsidRPr="005A0C17">
        <w:t>、</w:t>
      </w:r>
      <w:r w:rsidRPr="005A0C17">
        <w:rPr>
          <w:rFonts w:hint="eastAsia"/>
        </w:rPr>
        <w:t>应用要</w:t>
      </w:r>
      <w:r>
        <w:rPr>
          <w:rFonts w:hint="eastAsia"/>
        </w:rPr>
        <w:t>求</w:t>
      </w:r>
      <w:r>
        <w:t>，明确销毁对象和流程</w:t>
      </w:r>
      <w:r>
        <w:rPr>
          <w:rFonts w:hint="eastAsia"/>
        </w:rPr>
        <w:t>；</w:t>
      </w:r>
    </w:p>
    <w:p w14:paraId="402B1D54" w14:textId="77777777" w:rsidR="00A054B7" w:rsidRDefault="00A054B7" w:rsidP="00A054B7">
      <w:pPr>
        <w:pStyle w:val="af5"/>
      </w:pPr>
      <w:r>
        <w:t>明确对存储介质销毁的监控机制，确保对销毁存储介质的登记、审批等销毁过程进行监控。</w:t>
      </w:r>
    </w:p>
    <w:p w14:paraId="5110F1A3" w14:textId="77777777" w:rsidR="00A054B7" w:rsidRDefault="00A054B7" w:rsidP="00A054B7">
      <w:pPr>
        <w:pStyle w:val="af5"/>
        <w:sectPr w:rsidR="00A054B7" w:rsidSect="00A054B7">
          <w:pgSz w:w="11906" w:h="16838"/>
          <w:pgMar w:top="1928" w:right="1134" w:bottom="1134" w:left="1134" w:header="1418" w:footer="1134" w:gutter="284"/>
          <w:cols w:space="425"/>
          <w:formProt w:val="0"/>
          <w:docGrid w:type="lines" w:linePitch="312"/>
        </w:sectPr>
      </w:pPr>
    </w:p>
    <w:p w14:paraId="1212D70E" w14:textId="77777777" w:rsidR="00A054B7" w:rsidRDefault="00A054B7" w:rsidP="00A054B7">
      <w:pPr>
        <w:pStyle w:val="af8"/>
      </w:pPr>
      <w:bookmarkStart w:id="80" w:name="BookMark5"/>
    </w:p>
    <w:p w14:paraId="77D0E995" w14:textId="77777777" w:rsidR="00A054B7" w:rsidRDefault="00A054B7" w:rsidP="00A054B7">
      <w:pPr>
        <w:pStyle w:val="afe"/>
      </w:pPr>
    </w:p>
    <w:p w14:paraId="249DED7F" w14:textId="77777777" w:rsidR="00A054B7" w:rsidRPr="00EF4217" w:rsidRDefault="00A054B7" w:rsidP="00A054B7">
      <w:pPr>
        <w:pStyle w:val="aff3"/>
        <w:spacing w:after="120"/>
      </w:pPr>
      <w:r>
        <w:br/>
      </w:r>
      <w:bookmarkStart w:id="81" w:name="_Toc217380776"/>
      <w:r>
        <w:rPr>
          <w:rFonts w:hint="eastAsia"/>
        </w:rPr>
        <w:t>（资料性）</w:t>
      </w:r>
      <w:r>
        <w:br/>
      </w:r>
      <w:r>
        <w:rPr>
          <w:rFonts w:hint="eastAsia"/>
        </w:rPr>
        <w:t>乳制品智慧实验室数据资源表</w:t>
      </w:r>
      <w:bookmarkStart w:id="82" w:name="BookMark8"/>
      <w:bookmarkEnd w:id="80"/>
      <w:bookmarkEnd w:id="81"/>
    </w:p>
    <w:p w14:paraId="59ACD80F" w14:textId="77777777" w:rsidR="00A054B7" w:rsidRDefault="00A054B7" w:rsidP="00A054B7">
      <w:pPr>
        <w:jc w:val="center"/>
        <w:rPr>
          <w:rFonts w:ascii="黑体" w:eastAsia="黑体"/>
          <w:kern w:val="0"/>
        </w:rPr>
      </w:pPr>
      <w:r>
        <w:rPr>
          <w:rFonts w:ascii="黑体" w:eastAsia="黑体"/>
          <w:kern w:val="0"/>
        </w:rPr>
        <w:t>表A.1 乳制品智慧实验室数据资源表</w:t>
      </w:r>
    </w:p>
    <w:tbl>
      <w:tblPr>
        <w:tblW w:w="9529" w:type="dxa"/>
        <w:tblCellMar>
          <w:left w:w="0" w:type="dxa"/>
          <w:right w:w="0" w:type="dxa"/>
        </w:tblCellMar>
        <w:tblLook w:val="04A0" w:firstRow="1" w:lastRow="0" w:firstColumn="1" w:lastColumn="0" w:noHBand="0" w:noVBand="1"/>
      </w:tblPr>
      <w:tblGrid>
        <w:gridCol w:w="796"/>
        <w:gridCol w:w="701"/>
        <w:gridCol w:w="1218"/>
        <w:gridCol w:w="861"/>
        <w:gridCol w:w="829"/>
        <w:gridCol w:w="861"/>
        <w:gridCol w:w="1030"/>
        <w:gridCol w:w="627"/>
        <w:gridCol w:w="862"/>
        <w:gridCol w:w="797"/>
        <w:gridCol w:w="947"/>
      </w:tblGrid>
      <w:tr w:rsidR="00A054B7" w14:paraId="3A25DB4D" w14:textId="77777777" w:rsidTr="001E0792">
        <w:trPr>
          <w:trHeight w:val="315"/>
        </w:trPr>
        <w:tc>
          <w:tcPr>
            <w:tcW w:w="7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6E996C2"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数据类别</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A496C1D"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数据子类</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DC573FE"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数据项示例</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AFFC0D9"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数据来源</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0961C0D"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采集方式</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9BEE2B0"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存储要求</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B0B23BF"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传输要求</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5673DDC"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安全等级</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4BD1B48"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共享范围</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5CC6476"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销毁条件</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36CB65" w14:textId="77777777" w:rsidR="00A054B7" w:rsidRDefault="00A054B7" w:rsidP="001E0792">
            <w:pPr>
              <w:widowControl/>
              <w:snapToGrid w:val="0"/>
              <w:spacing w:line="240" w:lineRule="auto"/>
              <w:jc w:val="center"/>
              <w:rPr>
                <w:rFonts w:ascii="宋体" w:hAnsi="宋体" w:cs="宋体"/>
                <w:b/>
                <w:bCs/>
                <w:kern w:val="0"/>
                <w:sz w:val="12"/>
                <w:szCs w:val="12"/>
              </w:rPr>
            </w:pPr>
            <w:r>
              <w:rPr>
                <w:rFonts w:ascii="宋体" w:hAnsi="宋体" w:cs="宋体" w:hint="eastAsia"/>
                <w:b/>
                <w:bCs/>
                <w:kern w:val="0"/>
                <w:sz w:val="12"/>
                <w:szCs w:val="12"/>
              </w:rPr>
              <w:t>智慧化应用场景</w:t>
            </w:r>
          </w:p>
        </w:tc>
      </w:tr>
      <w:tr w:rsidR="00A054B7" w14:paraId="6F2F4EEC" w14:textId="77777777" w:rsidTr="001E0792">
        <w:trPr>
          <w:trHeight w:val="315"/>
        </w:trPr>
        <w:tc>
          <w:tcPr>
            <w:tcW w:w="796" w:type="dxa"/>
            <w:vMerge w:val="restart"/>
            <w:tcBorders>
              <w:top w:val="single" w:sz="4" w:space="0" w:color="000000"/>
              <w:left w:val="single" w:sz="4" w:space="0" w:color="000000"/>
              <w:right w:val="single" w:sz="4" w:space="0" w:color="000000"/>
            </w:tcBorders>
            <w:shd w:val="clear" w:color="auto" w:fill="FFFFFF"/>
            <w:tcMar>
              <w:top w:w="30" w:type="dxa"/>
              <w:left w:w="45" w:type="dxa"/>
              <w:bottom w:w="30" w:type="dxa"/>
              <w:right w:w="45" w:type="dxa"/>
            </w:tcMar>
            <w:vAlign w:val="center"/>
          </w:tcPr>
          <w:p w14:paraId="595AEB5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基础数据</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002742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物料类型</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92F651F"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生乳、灭菌乳、调制乳、乳饮料</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A47256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ERP系统 + 生产系统</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672199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 xml:space="preserve">系统对接 + </w:t>
            </w:r>
            <w:proofErr w:type="gramStart"/>
            <w:r>
              <w:rPr>
                <w:rFonts w:ascii="宋体" w:hAnsi="宋体" w:cs="宋体" w:hint="eastAsia"/>
                <w:kern w:val="0"/>
                <w:sz w:val="12"/>
                <w:szCs w:val="12"/>
              </w:rPr>
              <w:t>扫码采集</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24D5CE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CF2AF1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常规传输，确保准确性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534BC3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326155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内部生产部门、采购部门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70CEE9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物料停产且无溯源需求</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629DDD0"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物料需求预测、库存优化、供应链追溯</w:t>
            </w:r>
          </w:p>
        </w:tc>
      </w:tr>
      <w:tr w:rsidR="00A054B7" w14:paraId="1164A1B6"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04F3B630"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4A10C0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生产物料</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1584CE8"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酸酸乳、真果粒、特仑苏、</w:t>
            </w:r>
            <w:proofErr w:type="gramStart"/>
            <w:r>
              <w:rPr>
                <w:rFonts w:ascii="宋体" w:hAnsi="宋体" w:cs="宋体" w:hint="eastAsia"/>
                <w:kern w:val="0"/>
                <w:sz w:val="12"/>
                <w:szCs w:val="12"/>
              </w:rPr>
              <w:t>新养道</w:t>
            </w:r>
            <w:proofErr w:type="gramEnd"/>
            <w:r>
              <w:rPr>
                <w:rFonts w:ascii="宋体" w:hAnsi="宋体" w:cs="宋体" w:hint="eastAsia"/>
                <w:kern w:val="0"/>
                <w:sz w:val="12"/>
                <w:szCs w:val="12"/>
              </w:rPr>
              <w:t>、早餐奶、谷物奶、</w:t>
            </w:r>
            <w:proofErr w:type="gramStart"/>
            <w:r>
              <w:rPr>
                <w:rFonts w:ascii="宋体" w:hAnsi="宋体" w:cs="宋体" w:hint="eastAsia"/>
                <w:kern w:val="0"/>
                <w:sz w:val="12"/>
                <w:szCs w:val="12"/>
              </w:rPr>
              <w:t>冠益乳</w:t>
            </w:r>
            <w:proofErr w:type="gramEnd"/>
            <w:r>
              <w:rPr>
                <w:rFonts w:ascii="宋体" w:hAnsi="宋体" w:cs="宋体" w:hint="eastAsia"/>
                <w:kern w:val="0"/>
                <w:sz w:val="12"/>
                <w:szCs w:val="12"/>
              </w:rPr>
              <w:t>、大果粒、</w:t>
            </w:r>
            <w:proofErr w:type="gramStart"/>
            <w:r>
              <w:rPr>
                <w:rFonts w:ascii="宋体" w:hAnsi="宋体" w:cs="宋体" w:hint="eastAsia"/>
                <w:kern w:val="0"/>
                <w:sz w:val="12"/>
                <w:szCs w:val="12"/>
              </w:rPr>
              <w:t>未来星</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38B0F4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产品管理系统 + 市场部</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8D552E8"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模板导入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ADA844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C109E7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常规传输，确保完整性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49CD1F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F2FBF2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内部各部门、销售渠道</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5C6285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产品退市且无历史数据需求</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E078420"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产</w:t>
            </w:r>
            <w:r w:rsidRPr="005A0C17">
              <w:rPr>
                <w:rFonts w:ascii="宋体" w:hAnsi="宋体" w:cs="宋体" w:hint="eastAsia"/>
                <w:kern w:val="0"/>
                <w:sz w:val="12"/>
                <w:szCs w:val="12"/>
              </w:rPr>
              <w:t>品生命周期应用、市场</w:t>
            </w:r>
            <w:r>
              <w:rPr>
                <w:rFonts w:ascii="宋体" w:hAnsi="宋体" w:cs="宋体" w:hint="eastAsia"/>
                <w:kern w:val="0"/>
                <w:sz w:val="12"/>
                <w:szCs w:val="12"/>
              </w:rPr>
              <w:t>需求分析、精准营销</w:t>
            </w:r>
          </w:p>
        </w:tc>
      </w:tr>
      <w:tr w:rsidR="00A054B7" w14:paraId="0B5300E3"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5C9C6DAD"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828664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生产工序</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0E8A93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通用工序、收奶、调奶、巴氏杀菌、配料、定容、待装、供料开始、供料结束前、出库、超时</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8B1049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MES系统 + 生产设备传感器</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A09EB9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传感器自动采集 + 系统对接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9A119A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云存储，按生产批次归档</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4616B30"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实时传输，低延迟</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859FCA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中等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F3DB7C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内部生产部门、质控部门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C040D4"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生产</w:t>
            </w:r>
            <w:proofErr w:type="gramStart"/>
            <w:r>
              <w:rPr>
                <w:rFonts w:ascii="宋体" w:hAnsi="宋体" w:cs="宋体" w:hint="eastAsia"/>
                <w:kern w:val="0"/>
                <w:sz w:val="12"/>
                <w:szCs w:val="12"/>
              </w:rPr>
              <w:t>批次超</w:t>
            </w:r>
            <w:proofErr w:type="gramEnd"/>
            <w:r>
              <w:rPr>
                <w:rFonts w:ascii="宋体" w:hAnsi="宋体" w:cs="宋体" w:hint="eastAsia"/>
                <w:kern w:val="0"/>
                <w:sz w:val="12"/>
                <w:szCs w:val="12"/>
              </w:rPr>
              <w:t>追溯期 + 无质量问题</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38408D0"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工序自动化控制、质量异常预警、生产效率分析</w:t>
            </w:r>
          </w:p>
        </w:tc>
      </w:tr>
      <w:tr w:rsidR="00A054B7" w14:paraId="41596371"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0A55B878"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592895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实验室信息</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1AACB55"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实验室编号、地址、区域划分、功能分区、设备布局</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0474CB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w:t>
            </w:r>
            <w:r w:rsidRPr="005A0C17">
              <w:rPr>
                <w:rFonts w:ascii="宋体" w:hAnsi="宋体" w:cs="宋体" w:hint="eastAsia"/>
                <w:kern w:val="0"/>
                <w:sz w:val="12"/>
                <w:szCs w:val="12"/>
              </w:rPr>
              <w:t>室信息化</w:t>
            </w:r>
            <w:r>
              <w:rPr>
                <w:rFonts w:ascii="宋体" w:hAnsi="宋体" w:cs="宋体" w:hint="eastAsia"/>
                <w:kern w:val="0"/>
                <w:sz w:val="12"/>
                <w:szCs w:val="12"/>
              </w:rPr>
              <w:t>系统</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A57550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系统同步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3660F78"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D6C1E3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常规传输，确保完整性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7D144C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2497E9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内部管理部门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889FB9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实验室注销或功能变更</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0867594"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数字孪生实验室建模、空间优化</w:t>
            </w:r>
          </w:p>
        </w:tc>
      </w:tr>
      <w:tr w:rsidR="00A054B7" w14:paraId="4EABEE75"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1D48B421"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9331F4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人员信息</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943664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人员编号、姓名、岗位、权限等级、资质证书、操作记录</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9B7347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人力资源系统 + LIMS</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4658DE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系统对接 + 手动补录</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702BA4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EB209D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加密传输，权限管控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F2F7BB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中等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BA98DF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内部管理部门、监管部门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2B92EC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人员离职且无业务关联</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5454D1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权限自动分配、操作追溯、资质预警</w:t>
            </w:r>
          </w:p>
        </w:tc>
      </w:tr>
      <w:tr w:rsidR="00A054B7" w14:paraId="675B84EA"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34E7DCB1"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E0A3224"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仪器设备</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8325FA1"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设备编号、名称、型号、规格、厂家、安装日期、校准周期</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F8B611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设备管理系统</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11821F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 xml:space="preserve">系统录入 + </w:t>
            </w:r>
            <w:proofErr w:type="gramStart"/>
            <w:r>
              <w:rPr>
                <w:rFonts w:ascii="宋体" w:hAnsi="宋体" w:cs="宋体" w:hint="eastAsia"/>
                <w:kern w:val="0"/>
                <w:sz w:val="12"/>
                <w:szCs w:val="12"/>
              </w:rPr>
              <w:t>扫码关联</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5DB070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EAA31C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常规传输，实时同步</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245422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608240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内部技术部门、维保单位</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15B8B38"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设备报废且无溯源需求</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FF8D04A"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设备全生命周期</w:t>
            </w:r>
            <w:r w:rsidRPr="005A0C17">
              <w:rPr>
                <w:rFonts w:ascii="宋体" w:hAnsi="宋体" w:cs="宋体" w:hint="eastAsia"/>
                <w:kern w:val="0"/>
                <w:sz w:val="12"/>
                <w:szCs w:val="12"/>
              </w:rPr>
              <w:t>应用、</w:t>
            </w:r>
            <w:r>
              <w:rPr>
                <w:rFonts w:ascii="宋体" w:hAnsi="宋体" w:cs="宋体" w:hint="eastAsia"/>
                <w:kern w:val="0"/>
                <w:sz w:val="12"/>
                <w:szCs w:val="12"/>
              </w:rPr>
              <w:t>校准提醒</w:t>
            </w:r>
          </w:p>
        </w:tc>
      </w:tr>
      <w:tr w:rsidR="00A054B7" w14:paraId="6F399AB1"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3D0703A3"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1235D0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试剂耗材</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4B3D291"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试剂编号、名称、规格、纯度、生产厂家、保质期、储存条件、危险等级</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1A1F16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采购系统 + 供应商提供</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CB69F0A" w14:textId="77777777" w:rsidR="00A054B7" w:rsidRDefault="00A054B7" w:rsidP="001E0792">
            <w:pPr>
              <w:widowControl/>
              <w:snapToGrid w:val="0"/>
              <w:spacing w:line="240" w:lineRule="auto"/>
              <w:jc w:val="center"/>
              <w:rPr>
                <w:rFonts w:ascii="宋体" w:hAnsi="宋体" w:cs="宋体"/>
                <w:kern w:val="0"/>
                <w:sz w:val="12"/>
                <w:szCs w:val="12"/>
              </w:rPr>
            </w:pPr>
            <w:proofErr w:type="gramStart"/>
            <w:r>
              <w:rPr>
                <w:rFonts w:ascii="宋体" w:hAnsi="宋体" w:cs="宋体" w:hint="eastAsia"/>
                <w:kern w:val="0"/>
                <w:sz w:val="12"/>
                <w:szCs w:val="12"/>
              </w:rPr>
              <w:t>扫码录入</w:t>
            </w:r>
            <w:proofErr w:type="gramEnd"/>
            <w:r>
              <w:rPr>
                <w:rFonts w:ascii="宋体" w:hAnsi="宋体" w:cs="宋体" w:hint="eastAsia"/>
                <w:kern w:val="0"/>
                <w:sz w:val="12"/>
                <w:szCs w:val="12"/>
              </w:rPr>
              <w:t xml:space="preserve"> + 系统对接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4FFF2F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A18A74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常规传输，确保完整性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ED61574"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601C1B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内部实验室、采购部门、库管部门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C7109E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试剂过期且无库存</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796CCB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试剂库存预警、过期自动提醒、安全规范匹配</w:t>
            </w:r>
          </w:p>
        </w:tc>
      </w:tr>
      <w:tr w:rsidR="00A054B7" w14:paraId="72B6FC98"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0FF07A4E"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790BB8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检验方法</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6763468"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名称、编号、状态、类型、版本</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FC54CE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国家标准库 + 行业规范 + 企业标准</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F23181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标准文档导入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05F5D8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594E388"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常规传输，权限管控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BE9B52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中等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FD8078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内部检测部门、研发部门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A5251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标准作废且无参考价值</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38C26B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检验方法自动匹配、标准更新提醒、检测流程标准化</w:t>
            </w:r>
          </w:p>
        </w:tc>
      </w:tr>
      <w:tr w:rsidR="00A054B7" w14:paraId="413C7868"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71054E8C"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3A3507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实验室环境</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B52A598"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环境区域编号、温湿度要求、洁净度等级、光照要求、通风要求、安全规范</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CA7934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w:t>
            </w:r>
            <w:r w:rsidRPr="005A0C17">
              <w:rPr>
                <w:rFonts w:ascii="宋体" w:hAnsi="宋体" w:cs="宋体" w:hint="eastAsia"/>
                <w:kern w:val="0"/>
                <w:sz w:val="12"/>
                <w:szCs w:val="12"/>
              </w:rPr>
              <w:t>室应用</w:t>
            </w:r>
            <w:r>
              <w:rPr>
                <w:rFonts w:ascii="宋体" w:hAnsi="宋体" w:cs="宋体" w:hint="eastAsia"/>
                <w:kern w:val="0"/>
                <w:sz w:val="12"/>
                <w:szCs w:val="12"/>
              </w:rPr>
              <w:t>规范 + 检测标准</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3C9190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系统预设</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4D2EBE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AB0D12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常规传输，确保一致性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C540BD8"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F575F6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内部实验室、运</w:t>
            </w:r>
            <w:proofErr w:type="gramStart"/>
            <w:r>
              <w:rPr>
                <w:rFonts w:ascii="宋体" w:hAnsi="宋体" w:cs="宋体" w:hint="eastAsia"/>
                <w:kern w:val="0"/>
                <w:sz w:val="12"/>
                <w:szCs w:val="12"/>
              </w:rPr>
              <w:t>维部门</w:t>
            </w:r>
            <w:proofErr w:type="gramEnd"/>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5F37E5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区域功能变更且无参考价值</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942582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环境智能调控、异常自动预警</w:t>
            </w:r>
          </w:p>
        </w:tc>
      </w:tr>
      <w:tr w:rsidR="00A054B7" w14:paraId="607EE74A"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47E3F603"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F61AED4"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计量单位</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17CB76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质量类：克（g）、毫克（mg）、微克（μg）、纳克（ng）</w:t>
            </w:r>
            <w:r>
              <w:rPr>
                <w:rFonts w:ascii="宋体" w:hAnsi="宋体" w:cs="宋体" w:hint="eastAsia"/>
                <w:kern w:val="0"/>
                <w:sz w:val="12"/>
                <w:szCs w:val="12"/>
              </w:rPr>
              <w:br/>
              <w:t>体积类：升（L）、毫升（mL）、微升（μL）</w:t>
            </w:r>
            <w:r>
              <w:rPr>
                <w:rFonts w:ascii="宋体" w:hAnsi="宋体" w:cs="宋体" w:hint="eastAsia"/>
                <w:kern w:val="0"/>
                <w:sz w:val="12"/>
                <w:szCs w:val="12"/>
              </w:rPr>
              <w:br/>
              <w:t>物理类：摄氏度（℃）、密度（g/cm³）、（kg/m³）、粘度（mPa</w:t>
            </w:r>
            <w:r>
              <w:rPr>
                <w:rFonts w:ascii="微软雅黑" w:eastAsia="微软雅黑" w:hAnsi="微软雅黑" w:cs="微软雅黑" w:hint="eastAsia"/>
                <w:kern w:val="0"/>
                <w:sz w:val="12"/>
                <w:szCs w:val="12"/>
              </w:rPr>
              <w:t>・</w:t>
            </w:r>
            <w:r>
              <w:rPr>
                <w:rFonts w:ascii="宋体" w:hAnsi="宋体" w:cs="宋体" w:hint="eastAsia"/>
                <w:kern w:val="0"/>
                <w:sz w:val="12"/>
                <w:szCs w:val="12"/>
              </w:rPr>
              <w:t>s）</w:t>
            </w:r>
            <w:r>
              <w:rPr>
                <w:rFonts w:ascii="宋体" w:hAnsi="宋体" w:cs="宋体" w:hint="eastAsia"/>
                <w:kern w:val="0"/>
                <w:sz w:val="12"/>
                <w:szCs w:val="12"/>
              </w:rPr>
              <w:br/>
              <w:t>微生物类：菌落总数（CFU/mL）、乳酸菌数（CFU/mL）</w:t>
            </w:r>
            <w:r>
              <w:rPr>
                <w:rFonts w:ascii="宋体" w:hAnsi="宋体" w:cs="宋体" w:hint="eastAsia"/>
                <w:kern w:val="0"/>
                <w:sz w:val="12"/>
                <w:szCs w:val="12"/>
              </w:rPr>
              <w:br/>
              <w:t>能量类：能量（kJ）</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894FA0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国家标准 + 行业规范</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649CCC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系统预设</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8425C30"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4D7927A"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常规传输，确保一致性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1B21AA"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4E784A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内部全部门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0D9958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单位废除且无历史数据关联</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64A03C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计量单位自动换算、数据标准化处理</w:t>
            </w:r>
          </w:p>
        </w:tc>
      </w:tr>
      <w:tr w:rsidR="00A054B7" w14:paraId="4A269F59"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7F7BFC76"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291415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检验项目</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985686D"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脂肪、蛋白质、总固形物、冰点、密度、酸度、粘度、果粒可见性、大肠菌群、金黄色葡萄球菌、霉菌、酵母、沙门氏菌、乳酸菌数、三聚氰胺、总砷、总汞、铅、铬、pH值、能量、碳水化合物、蔗糖、维生素、净含量、山梨酸、苯甲酸、感官、气味、乙酰胺磺酸钾、黄曲霉毒素M1、温度、钙、纳</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E03D6B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产品标准 + 监管要求 + 客户需求</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4502DD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模板导入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2FCC1A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59E881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常规传输，确保准确性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DD906A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中等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9E0CBA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内部检测部门、质控部门、监管部门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FF2564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项目取消且无历史检测数据</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EE3F47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检验项目自动分配、检测需求智能匹配</w:t>
            </w:r>
          </w:p>
        </w:tc>
      </w:tr>
      <w:tr w:rsidR="00A054B7" w14:paraId="5C312F45"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46BBE78F"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1AF24B4"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检验类型</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71FD95F"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环境能源、半成品、成品、原辅料、奶仓、</w:t>
            </w:r>
            <w:proofErr w:type="gramStart"/>
            <w:r>
              <w:rPr>
                <w:rFonts w:ascii="宋体" w:hAnsi="宋体" w:cs="宋体" w:hint="eastAsia"/>
                <w:kern w:val="0"/>
                <w:sz w:val="12"/>
                <w:szCs w:val="12"/>
              </w:rPr>
              <w:t>原奶</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BE2CC0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质</w:t>
            </w:r>
            <w:r w:rsidRPr="005A0C17">
              <w:rPr>
                <w:rFonts w:ascii="宋体" w:hAnsi="宋体" w:cs="宋体" w:hint="eastAsia"/>
                <w:kern w:val="0"/>
                <w:sz w:val="12"/>
                <w:szCs w:val="12"/>
              </w:rPr>
              <w:t>量监管体系 + 监管要求</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6BA236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系统预设</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EDE23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A0D2F9A"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常规传输，确保一致性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6E80115"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D7E702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内部检测部门、质控部门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6A2374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类型废除且无业务关联</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82E885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检验流程自动分类、检测资源优化分配</w:t>
            </w:r>
          </w:p>
        </w:tc>
      </w:tr>
      <w:tr w:rsidR="00A054B7" w14:paraId="3D68E205"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65EF56B6"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9DE6C7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检验岗位</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4F4F89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微生物、理化、光谱、色谱、过程、质检</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4F17206"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人力资源系统 + 实验</w:t>
            </w:r>
            <w:r w:rsidRPr="005A0C17">
              <w:rPr>
                <w:rFonts w:ascii="宋体" w:hAnsi="宋体" w:cs="宋体" w:hint="eastAsia"/>
                <w:kern w:val="0"/>
                <w:sz w:val="12"/>
                <w:szCs w:val="12"/>
              </w:rPr>
              <w:t>室应用</w:t>
            </w:r>
            <w:r>
              <w:rPr>
                <w:rFonts w:ascii="宋体" w:hAnsi="宋体" w:cs="宋体" w:hint="eastAsia"/>
                <w:kern w:val="0"/>
                <w:sz w:val="12"/>
                <w:szCs w:val="12"/>
              </w:rPr>
              <w:t>规范</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DB040B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手动录入 + 角色分配</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AFCC4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C3D90A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常规传输，确保一致性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0E3E323"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18D8897"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内部人力资源部、检测部门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DBDB84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岗位撤销且无人员关联</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253A18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岗位权限自动匹配、人员能力智能分配</w:t>
            </w:r>
          </w:p>
        </w:tc>
      </w:tr>
      <w:tr w:rsidR="00A054B7" w14:paraId="78D41743" w14:textId="77777777" w:rsidTr="001E0792">
        <w:trPr>
          <w:trHeight w:val="315"/>
        </w:trPr>
        <w:tc>
          <w:tcPr>
            <w:tcW w:w="796" w:type="dxa"/>
            <w:vMerge w:val="restart"/>
            <w:tcBorders>
              <w:top w:val="single" w:sz="4" w:space="0" w:color="000000"/>
              <w:left w:val="single" w:sz="4" w:space="0" w:color="000000"/>
              <w:right w:val="single" w:sz="4" w:space="0" w:color="000000"/>
            </w:tcBorders>
            <w:shd w:val="clear" w:color="auto" w:fill="FFFFFF"/>
            <w:tcMar>
              <w:top w:w="30" w:type="dxa"/>
              <w:left w:w="45" w:type="dxa"/>
              <w:bottom w:w="30" w:type="dxa"/>
              <w:right w:w="45" w:type="dxa"/>
            </w:tcMar>
            <w:vAlign w:val="center"/>
          </w:tcPr>
          <w:p w14:paraId="7BB3A27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采送样数据</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56DC35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采样信息</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EEAEAE4"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采样时间、车牌号、奶车符合性、感官结果、采样人</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5421F5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送样登记系统 + 手动记录</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4B8553E"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 xml:space="preserve">移动端录入 + </w:t>
            </w:r>
            <w:proofErr w:type="gramStart"/>
            <w:r>
              <w:rPr>
                <w:rFonts w:ascii="宋体" w:hAnsi="宋体" w:cs="宋体" w:hint="eastAsia"/>
                <w:kern w:val="0"/>
                <w:sz w:val="12"/>
                <w:szCs w:val="12"/>
              </w:rPr>
              <w:t>扫码签收</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EAB1E2A"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本地 + 云存储，按送样单号归档</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5B107C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实时传输，确保准确性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385157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3948551"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内部检测部门、样品</w:t>
            </w:r>
            <w:r w:rsidRPr="005A0C17">
              <w:rPr>
                <w:rFonts w:ascii="宋体" w:hAnsi="宋体" w:cs="宋体" w:hint="eastAsia"/>
                <w:kern w:val="0"/>
                <w:sz w:val="12"/>
                <w:szCs w:val="12"/>
              </w:rPr>
              <w:t>使用</w:t>
            </w:r>
            <w:r>
              <w:rPr>
                <w:rFonts w:ascii="宋体" w:hAnsi="宋体" w:cs="宋体" w:hint="eastAsia"/>
                <w:kern w:val="0"/>
                <w:sz w:val="12"/>
                <w:szCs w:val="12"/>
              </w:rPr>
              <w:t>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3CB322A"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样品检测完成且超追溯期</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55068E0"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送样进度实时跟踪、样品接收自动登记</w:t>
            </w:r>
          </w:p>
        </w:tc>
      </w:tr>
      <w:tr w:rsidR="00A054B7" w14:paraId="3C71E8B9"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7B8D66E3"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AB114E9"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质量标准</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67C37F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 xml:space="preserve">物料名称、物料类别、工序、数据类型、检验项目分类、检验项目编码、检验项目名称、检验方法集、检验方法、企标上限、企标上限操作符、企标下限、企标下限操作符、预警上限、预警上限操作符、预警下限、预警下限操作符、单位 </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67CBCC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产品标准+ 企业内控标准</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A63E0D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标准文档导入 + 手动更新</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4B6305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C6939F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常规传输，权限管控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BE1BA2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中等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DAE786D"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内部检测部门、标准部门、研发部门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94ED1C8"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标准作废且无参考价值</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FD29384"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质量标准自动匹配、标准更新提醒</w:t>
            </w:r>
          </w:p>
        </w:tc>
      </w:tr>
      <w:tr w:rsidR="00A054B7" w14:paraId="12AF60D3"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78F9DCC4"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4974A0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监控计划</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B00E8D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工序、监控类别、检验项目编码、检验项目类别、</w:t>
            </w:r>
            <w:proofErr w:type="gramStart"/>
            <w:r>
              <w:rPr>
                <w:rFonts w:ascii="宋体" w:hAnsi="宋体" w:cs="宋体" w:hint="eastAsia"/>
                <w:kern w:val="0"/>
                <w:sz w:val="12"/>
                <w:szCs w:val="12"/>
              </w:rPr>
              <w:t>转序判断</w:t>
            </w:r>
            <w:proofErr w:type="gramEnd"/>
            <w:r>
              <w:rPr>
                <w:rFonts w:ascii="宋体" w:hAnsi="宋体" w:cs="宋体" w:hint="eastAsia"/>
                <w:kern w:val="0"/>
                <w:sz w:val="12"/>
                <w:szCs w:val="12"/>
              </w:rPr>
              <w:t>、频次、是否随机、周期数、检验周期、采样点、采样岗位、采样量、样本数量、采样器具、检测方法</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CF1F75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产品标准+ 企业内控标准</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9ABBAD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计划文档导入 + 手动更新</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C2CE22A"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0ED477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常规传输，权限管控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9DC6545"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中等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725E06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内部检测部门、计划部门、研发部门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31ED58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监控计划作废且无参考价值</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0F2EE5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监控计划自动匹配、标准更新提醒</w:t>
            </w:r>
          </w:p>
        </w:tc>
      </w:tr>
      <w:tr w:rsidR="00A054B7" w14:paraId="39156E6C" w14:textId="77777777" w:rsidTr="001E0792">
        <w:trPr>
          <w:trHeight w:val="315"/>
        </w:trPr>
        <w:tc>
          <w:tcPr>
            <w:tcW w:w="0" w:type="auto"/>
            <w:vMerge/>
            <w:tcBorders>
              <w:top w:val="single" w:sz="4" w:space="0" w:color="000000"/>
              <w:left w:val="single" w:sz="4" w:space="0" w:color="000000"/>
              <w:right w:val="single" w:sz="4" w:space="0" w:color="000000"/>
            </w:tcBorders>
            <w:vAlign w:val="center"/>
          </w:tcPr>
          <w:p w14:paraId="6D222C82"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312575C" w14:textId="77777777" w:rsidR="00A054B7" w:rsidRDefault="00A054B7" w:rsidP="001E0792">
            <w:pPr>
              <w:widowControl/>
              <w:snapToGrid w:val="0"/>
              <w:spacing w:line="240" w:lineRule="auto"/>
              <w:jc w:val="center"/>
              <w:rPr>
                <w:rFonts w:ascii="宋体" w:hAnsi="宋体" w:cs="宋体"/>
                <w:kern w:val="0"/>
                <w:sz w:val="12"/>
                <w:szCs w:val="12"/>
              </w:rPr>
            </w:pPr>
            <w:proofErr w:type="gramStart"/>
            <w:r>
              <w:rPr>
                <w:rFonts w:ascii="宋体" w:hAnsi="宋体" w:cs="宋体" w:hint="eastAsia"/>
                <w:kern w:val="0"/>
                <w:sz w:val="12"/>
                <w:szCs w:val="12"/>
              </w:rPr>
              <w:t>接样状态</w:t>
            </w:r>
            <w:proofErr w:type="gramEnd"/>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1AE4010"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接样点、</w:t>
            </w:r>
            <w:proofErr w:type="gramStart"/>
            <w:r>
              <w:rPr>
                <w:rFonts w:ascii="宋体" w:hAnsi="宋体" w:cs="宋体" w:hint="eastAsia"/>
                <w:kern w:val="0"/>
                <w:sz w:val="12"/>
                <w:szCs w:val="12"/>
              </w:rPr>
              <w:t>接样时间</w:t>
            </w:r>
            <w:proofErr w:type="gramEnd"/>
            <w:r>
              <w:rPr>
                <w:rFonts w:ascii="宋体" w:hAnsi="宋体" w:cs="宋体" w:hint="eastAsia"/>
                <w:kern w:val="0"/>
                <w:sz w:val="12"/>
                <w:szCs w:val="12"/>
              </w:rPr>
              <w:t>、</w:t>
            </w:r>
            <w:proofErr w:type="gramStart"/>
            <w:r>
              <w:rPr>
                <w:rFonts w:ascii="宋体" w:hAnsi="宋体" w:cs="宋体" w:hint="eastAsia"/>
                <w:kern w:val="0"/>
                <w:sz w:val="12"/>
                <w:szCs w:val="12"/>
              </w:rPr>
              <w:t>接样人</w:t>
            </w:r>
            <w:proofErr w:type="gramEnd"/>
            <w:r>
              <w:rPr>
                <w:rFonts w:ascii="宋体" w:hAnsi="宋体" w:cs="宋体" w:hint="eastAsia"/>
                <w:kern w:val="0"/>
                <w:sz w:val="12"/>
                <w:szCs w:val="12"/>
              </w:rPr>
              <w:t>、样品ID</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4DC5EE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LIMS系统 + 实验</w:t>
            </w:r>
            <w:r w:rsidRPr="005A0C17">
              <w:rPr>
                <w:rFonts w:ascii="宋体" w:hAnsi="宋体" w:cs="宋体" w:hint="eastAsia"/>
                <w:kern w:val="0"/>
                <w:sz w:val="12"/>
                <w:szCs w:val="12"/>
              </w:rPr>
              <w:t>室应用规</w:t>
            </w:r>
            <w:r>
              <w:rPr>
                <w:rFonts w:ascii="宋体" w:hAnsi="宋体" w:cs="宋体" w:hint="eastAsia"/>
                <w:kern w:val="0"/>
                <w:sz w:val="12"/>
                <w:szCs w:val="12"/>
              </w:rPr>
              <w:t>范</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531D3D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手动录入 + 角色分配</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39966C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本地存储，长期保存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F08C18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常规传输，确保一致性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DF60F38"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3B2BED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检测部门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B4F523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样品检测完成且超追溯期</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D11A5E0"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送样进度实时跟踪、样品接收自动登记</w:t>
            </w:r>
          </w:p>
        </w:tc>
      </w:tr>
      <w:tr w:rsidR="00A054B7" w14:paraId="508C1DB5" w14:textId="77777777" w:rsidTr="001E0792">
        <w:trPr>
          <w:trHeight w:val="315"/>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639FC3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实验数据</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98E127C"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实验任务</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A6821F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任务编号、任务名称、委托单位、检测类型、优先级、完成期限、任务状态</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7EB275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LIMS系统 + 委托单 + 手动录入</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3511A0F"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手动录入 + 委托单导入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961890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本地 + 云存储，按任务归档</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DD32B6F"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常规传输，实时更新</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936234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CF35DF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内部检测部门、质控部门、委托单位</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F688F0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任务完成且超追溯期</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9446964"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任务自动分配、进度实时监控、逾期预警</w:t>
            </w:r>
          </w:p>
        </w:tc>
      </w:tr>
      <w:tr w:rsidR="00A054B7" w14:paraId="4A0B5C17" w14:textId="77777777" w:rsidTr="001E0792">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tcPr>
          <w:p w14:paraId="2A5C96AD"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D0D303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检测过程</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E0028EA"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检测记录编号、样品编号、检测项目、检测人员、检测时间、检测设备、原始记录数据</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72E7EEA"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检测设备 + 检测人员录入</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DC78BAF"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设备自动采集 + 手动补录</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B4686A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BA8727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加密传输，实时上传</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83CD345"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高等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081B7D5"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内部检测部门、质控部门、监管部门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B76684E" w14:textId="77777777" w:rsidR="00A054B7" w:rsidRDefault="00A054B7" w:rsidP="001E0792">
            <w:pPr>
              <w:widowControl/>
              <w:snapToGrid w:val="0"/>
              <w:spacing w:line="240" w:lineRule="auto"/>
              <w:jc w:val="left"/>
              <w:rPr>
                <w:rFonts w:ascii="宋体" w:hAnsi="宋体" w:cs="宋体"/>
                <w:kern w:val="0"/>
                <w:sz w:val="12"/>
                <w:szCs w:val="12"/>
              </w:rPr>
            </w:pPr>
            <w:proofErr w:type="gramStart"/>
            <w:r>
              <w:rPr>
                <w:rFonts w:ascii="宋体" w:hAnsi="宋体" w:cs="宋体" w:hint="eastAsia"/>
                <w:kern w:val="0"/>
                <w:sz w:val="12"/>
                <w:szCs w:val="12"/>
              </w:rPr>
              <w:t>样品超追溯期且</w:t>
            </w:r>
            <w:proofErr w:type="gramEnd"/>
            <w:r>
              <w:rPr>
                <w:rFonts w:ascii="宋体" w:hAnsi="宋体" w:cs="宋体" w:hint="eastAsia"/>
                <w:kern w:val="0"/>
                <w:sz w:val="12"/>
                <w:szCs w:val="12"/>
              </w:rPr>
              <w:t>无质量问题</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88C50FA"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检测过程追溯、数据异常分析、质量趋势预测</w:t>
            </w:r>
          </w:p>
        </w:tc>
      </w:tr>
      <w:tr w:rsidR="00A054B7" w14:paraId="44063CE9" w14:textId="77777777" w:rsidTr="001E0792">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tcPr>
          <w:p w14:paraId="30D8ACF5"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36FFB3D"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结果判定</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A060A8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判定编号、样品编号、检测项目、检测结果、标准限值、判定结论、判定人员</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4CEE62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检测过程数据 + 标准数据 + 判定规则</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0609C5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系统自动判定 + 人工审核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559BF1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F03E1B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加密传输，权限管控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2F80572"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高等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FF5D4EF"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内部检测部门、质控部门、监管部门、委托单位</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4F6AB9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报告失效且无追溯需求</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621A6B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结果自动判定、异常结果预警、质量问题追溯</w:t>
            </w:r>
          </w:p>
        </w:tc>
      </w:tr>
      <w:tr w:rsidR="00A054B7" w14:paraId="18899991" w14:textId="77777777" w:rsidTr="001E0792">
        <w:trPr>
          <w:trHeight w:val="315"/>
        </w:trPr>
        <w:tc>
          <w:tcPr>
            <w:tcW w:w="0" w:type="auto"/>
            <w:vMerge/>
            <w:tcBorders>
              <w:top w:val="single" w:sz="4" w:space="0" w:color="000000"/>
              <w:left w:val="single" w:sz="4" w:space="0" w:color="000000"/>
              <w:bottom w:val="single" w:sz="4" w:space="0" w:color="auto"/>
              <w:right w:val="single" w:sz="4" w:space="0" w:color="000000"/>
            </w:tcBorders>
            <w:vAlign w:val="center"/>
          </w:tcPr>
          <w:p w14:paraId="3E5B7C7A"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000000"/>
              <w:left w:val="single" w:sz="4" w:space="0" w:color="000000"/>
              <w:bottom w:val="single" w:sz="4" w:space="0" w:color="auto"/>
              <w:right w:val="single" w:sz="4" w:space="0" w:color="000000"/>
            </w:tcBorders>
            <w:shd w:val="clear" w:color="auto" w:fill="FFFFFF"/>
            <w:tcMar>
              <w:top w:w="30" w:type="dxa"/>
              <w:left w:w="45" w:type="dxa"/>
              <w:bottom w:w="30" w:type="dxa"/>
              <w:right w:w="45" w:type="dxa"/>
            </w:tcMar>
            <w:vAlign w:val="center"/>
          </w:tcPr>
          <w:p w14:paraId="56C3393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检验报告</w:t>
            </w:r>
          </w:p>
        </w:tc>
        <w:tc>
          <w:tcPr>
            <w:tcW w:w="1218" w:type="dxa"/>
            <w:tcBorders>
              <w:top w:val="single" w:sz="4" w:space="0" w:color="000000"/>
              <w:left w:val="single" w:sz="4" w:space="0" w:color="000000"/>
              <w:bottom w:val="single" w:sz="4" w:space="0" w:color="auto"/>
              <w:right w:val="single" w:sz="4" w:space="0" w:color="000000"/>
            </w:tcBorders>
            <w:shd w:val="clear" w:color="auto" w:fill="FFFFFF"/>
            <w:tcMar>
              <w:top w:w="30" w:type="dxa"/>
              <w:left w:w="45" w:type="dxa"/>
              <w:bottom w:w="30" w:type="dxa"/>
              <w:right w:w="45" w:type="dxa"/>
            </w:tcMar>
            <w:vAlign w:val="center"/>
          </w:tcPr>
          <w:p w14:paraId="1A78196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报告编号、样品编号、委托单位、报告类型、生成时间、审核状态、发布状态</w:t>
            </w:r>
          </w:p>
        </w:tc>
        <w:tc>
          <w:tcPr>
            <w:tcW w:w="861" w:type="dxa"/>
            <w:tcBorders>
              <w:top w:val="single" w:sz="4" w:space="0" w:color="000000"/>
              <w:left w:val="single" w:sz="4" w:space="0" w:color="000000"/>
              <w:bottom w:val="single" w:sz="4" w:space="0" w:color="auto"/>
              <w:right w:val="single" w:sz="4" w:space="0" w:color="000000"/>
            </w:tcBorders>
            <w:shd w:val="clear" w:color="auto" w:fill="FFFFFF"/>
            <w:tcMar>
              <w:top w:w="30" w:type="dxa"/>
              <w:left w:w="45" w:type="dxa"/>
              <w:bottom w:w="30" w:type="dxa"/>
              <w:right w:w="45" w:type="dxa"/>
            </w:tcMar>
            <w:vAlign w:val="center"/>
          </w:tcPr>
          <w:p w14:paraId="0C7447E3"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LIMS系统 + 检测结果数据</w:t>
            </w:r>
          </w:p>
        </w:tc>
        <w:tc>
          <w:tcPr>
            <w:tcW w:w="8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3F6886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系统自动生成 + 手动审核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3DBFFC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加密存储，长期保存</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9F07B1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加密传输，权限管控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9AFF11D"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高等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3DC19664"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内部检测部门、委托单位、监管部门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6B33E4A"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报告失效且无追溯需求</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5696D0E"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报告自动生成、电子签章、合</w:t>
            </w:r>
            <w:proofErr w:type="gramStart"/>
            <w:r>
              <w:rPr>
                <w:rFonts w:ascii="宋体" w:hAnsi="宋体" w:cs="宋体" w:hint="eastAsia"/>
                <w:kern w:val="0"/>
                <w:sz w:val="12"/>
                <w:szCs w:val="12"/>
              </w:rPr>
              <w:t>规</w:t>
            </w:r>
            <w:proofErr w:type="gramEnd"/>
            <w:r>
              <w:rPr>
                <w:rFonts w:ascii="宋体" w:hAnsi="宋体" w:cs="宋体" w:hint="eastAsia"/>
                <w:kern w:val="0"/>
                <w:sz w:val="12"/>
                <w:szCs w:val="12"/>
              </w:rPr>
              <w:t>审核、客户自助查询</w:t>
            </w:r>
          </w:p>
        </w:tc>
      </w:tr>
      <w:tr w:rsidR="00A054B7" w14:paraId="28E7B166" w14:textId="77777777" w:rsidTr="001E0792">
        <w:trPr>
          <w:trHeight w:val="315"/>
        </w:trPr>
        <w:tc>
          <w:tcPr>
            <w:tcW w:w="796"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71D4FD3B"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系统运行数据</w:t>
            </w:r>
          </w:p>
        </w:tc>
        <w:tc>
          <w:tcPr>
            <w:tcW w:w="70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1303AB0F"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系统运行</w:t>
            </w:r>
          </w:p>
        </w:tc>
        <w:tc>
          <w:tcPr>
            <w:tcW w:w="12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0EC6243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服务器负载、响应速度、并发量、存储容量、协议适配状态</w:t>
            </w:r>
          </w:p>
        </w:tc>
        <w:tc>
          <w:tcPr>
            <w:tcW w:w="86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6267E33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运维系统、服务器</w:t>
            </w:r>
          </w:p>
        </w:tc>
        <w:tc>
          <w:tcPr>
            <w:tcW w:w="829" w:type="dxa"/>
            <w:tcBorders>
              <w:top w:val="single" w:sz="4" w:space="0" w:color="000000"/>
              <w:left w:val="single" w:sz="4" w:space="0" w:color="auto"/>
              <w:bottom w:val="single" w:sz="4" w:space="0" w:color="000000"/>
              <w:right w:val="single" w:sz="4" w:space="0" w:color="000000"/>
            </w:tcBorders>
            <w:shd w:val="clear" w:color="auto" w:fill="FFFFFF"/>
            <w:tcMar>
              <w:top w:w="30" w:type="dxa"/>
              <w:left w:w="45" w:type="dxa"/>
              <w:bottom w:w="30" w:type="dxa"/>
              <w:right w:w="45" w:type="dxa"/>
            </w:tcMar>
            <w:vAlign w:val="center"/>
          </w:tcPr>
          <w:p w14:paraId="46848647"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系统自动采集 + API 对接</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65202EB4"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本地存储，短期归档</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1EAC9239"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常规传输，实时监控</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D725E9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普通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07A37E15" w14:textId="77777777" w:rsidR="00A054B7" w:rsidRDefault="00A054B7" w:rsidP="001E0792">
            <w:pPr>
              <w:widowControl/>
              <w:snapToGrid w:val="0"/>
              <w:spacing w:line="240" w:lineRule="auto"/>
              <w:jc w:val="left"/>
              <w:rPr>
                <w:rFonts w:ascii="宋体" w:hAnsi="宋体" w:cs="宋体"/>
                <w:kern w:val="0"/>
                <w:sz w:val="12"/>
                <w:szCs w:val="12"/>
              </w:rPr>
            </w:pPr>
            <w:proofErr w:type="gramStart"/>
            <w:r>
              <w:rPr>
                <w:rFonts w:ascii="宋体" w:hAnsi="宋体" w:cs="宋体" w:hint="eastAsia"/>
                <w:kern w:val="0"/>
                <w:sz w:val="12"/>
                <w:szCs w:val="12"/>
              </w:rPr>
              <w:t>内部运维部门</w:t>
            </w:r>
            <w:proofErr w:type="gramEnd"/>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6289A1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数据超期 + 无故障分析价值</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EAC0924"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系统性能优化、瓶颈预警</w:t>
            </w:r>
          </w:p>
        </w:tc>
      </w:tr>
      <w:tr w:rsidR="00A054B7" w14:paraId="29DC256F" w14:textId="77777777" w:rsidTr="001E0792">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14:paraId="5B8D71B1" w14:textId="77777777" w:rsidR="00A054B7" w:rsidRDefault="00A054B7" w:rsidP="001E0792">
            <w:pPr>
              <w:widowControl/>
              <w:snapToGrid w:val="0"/>
              <w:spacing w:line="240" w:lineRule="auto"/>
              <w:jc w:val="left"/>
              <w:rPr>
                <w:rFonts w:ascii="宋体" w:hAnsi="宋体" w:cs="宋体"/>
                <w:kern w:val="0"/>
                <w:sz w:val="12"/>
                <w:szCs w:val="12"/>
              </w:rPr>
            </w:pPr>
          </w:p>
        </w:tc>
        <w:tc>
          <w:tcPr>
            <w:tcW w:w="70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5C4F72C2" w14:textId="77777777" w:rsidR="00A054B7" w:rsidRDefault="00A054B7" w:rsidP="001E0792">
            <w:pPr>
              <w:widowControl/>
              <w:snapToGrid w:val="0"/>
              <w:spacing w:line="240" w:lineRule="auto"/>
              <w:jc w:val="center"/>
              <w:rPr>
                <w:rFonts w:ascii="宋体" w:hAnsi="宋体" w:cs="宋体"/>
                <w:kern w:val="0"/>
                <w:sz w:val="12"/>
                <w:szCs w:val="12"/>
              </w:rPr>
            </w:pPr>
            <w:r>
              <w:rPr>
                <w:rFonts w:ascii="宋体" w:hAnsi="宋体" w:cs="宋体" w:hint="eastAsia"/>
                <w:kern w:val="0"/>
                <w:sz w:val="12"/>
                <w:szCs w:val="12"/>
              </w:rPr>
              <w:t>安全审计</w:t>
            </w:r>
          </w:p>
        </w:tc>
        <w:tc>
          <w:tcPr>
            <w:tcW w:w="12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6EF2660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登录记录、操作日志、权限变更记录、安全事件记录</w:t>
            </w:r>
          </w:p>
        </w:tc>
        <w:tc>
          <w:tcPr>
            <w:tcW w:w="86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14:paraId="6441D7F0"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安全系统</w:t>
            </w:r>
          </w:p>
        </w:tc>
        <w:tc>
          <w:tcPr>
            <w:tcW w:w="829" w:type="dxa"/>
            <w:tcBorders>
              <w:top w:val="single" w:sz="4" w:space="0" w:color="000000"/>
              <w:left w:val="single" w:sz="4" w:space="0" w:color="auto"/>
              <w:bottom w:val="single" w:sz="4" w:space="0" w:color="000000"/>
              <w:right w:val="single" w:sz="4" w:space="0" w:color="000000"/>
            </w:tcBorders>
            <w:shd w:val="clear" w:color="auto" w:fill="FFFFFF"/>
            <w:tcMar>
              <w:top w:w="30" w:type="dxa"/>
              <w:left w:w="45" w:type="dxa"/>
              <w:bottom w:w="30" w:type="dxa"/>
              <w:right w:w="45" w:type="dxa"/>
            </w:tcMar>
            <w:vAlign w:val="center"/>
          </w:tcPr>
          <w:p w14:paraId="4D05FC83"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系统自动记录</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9B4FDC3"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加密存储，按审计周期归档</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F780951"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加密传输，全程追溯</w:t>
            </w:r>
          </w:p>
        </w:tc>
        <w:tc>
          <w:tcPr>
            <w:tcW w:w="62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2B0A3C6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高等</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42BCC676"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内部安全部门、监管部门</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5F1684CB"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审计周期结束 + 无违规关联</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30" w:type="dxa"/>
              <w:left w:w="45" w:type="dxa"/>
              <w:bottom w:w="30" w:type="dxa"/>
              <w:right w:w="45" w:type="dxa"/>
            </w:tcMar>
            <w:vAlign w:val="center"/>
          </w:tcPr>
          <w:p w14:paraId="7DF1371C" w14:textId="77777777" w:rsidR="00A054B7" w:rsidRDefault="00A054B7" w:rsidP="001E0792">
            <w:pPr>
              <w:widowControl/>
              <w:snapToGrid w:val="0"/>
              <w:spacing w:line="240" w:lineRule="auto"/>
              <w:jc w:val="left"/>
              <w:rPr>
                <w:rFonts w:ascii="宋体" w:hAnsi="宋体" w:cs="宋体"/>
                <w:kern w:val="0"/>
                <w:sz w:val="12"/>
                <w:szCs w:val="12"/>
              </w:rPr>
            </w:pPr>
            <w:r>
              <w:rPr>
                <w:rFonts w:ascii="宋体" w:hAnsi="宋体" w:cs="宋体" w:hint="eastAsia"/>
                <w:kern w:val="0"/>
                <w:sz w:val="12"/>
                <w:szCs w:val="12"/>
              </w:rPr>
              <w:t>安全事件追溯、合</w:t>
            </w:r>
            <w:proofErr w:type="gramStart"/>
            <w:r>
              <w:rPr>
                <w:rFonts w:ascii="宋体" w:hAnsi="宋体" w:cs="宋体" w:hint="eastAsia"/>
                <w:kern w:val="0"/>
                <w:sz w:val="12"/>
                <w:szCs w:val="12"/>
              </w:rPr>
              <w:t>规</w:t>
            </w:r>
            <w:proofErr w:type="gramEnd"/>
            <w:r>
              <w:rPr>
                <w:rFonts w:ascii="宋体" w:hAnsi="宋体" w:cs="宋体" w:hint="eastAsia"/>
                <w:kern w:val="0"/>
                <w:sz w:val="12"/>
                <w:szCs w:val="12"/>
              </w:rPr>
              <w:t>审计</w:t>
            </w:r>
          </w:p>
        </w:tc>
      </w:tr>
    </w:tbl>
    <w:p w14:paraId="7D94DB54" w14:textId="77777777" w:rsidR="00A054B7" w:rsidRDefault="00A054B7" w:rsidP="00A054B7">
      <w:pPr>
        <w:pStyle w:val="afffff5"/>
        <w:ind w:firstLineChars="0" w:firstLine="0"/>
        <w:jc w:val="center"/>
      </w:pPr>
      <w:r>
        <w:rPr>
          <w:noProof/>
        </w:rPr>
        <w:drawing>
          <wp:inline distT="0" distB="0" distL="0" distR="0" wp14:anchorId="52AF14B5" wp14:editId="21BA52E0">
            <wp:extent cx="1485900" cy="317500"/>
            <wp:effectExtent l="0" t="0" r="0" b="6350"/>
            <wp:docPr id="506247657" name="图片 506247657"/>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82"/>
    <w:p w14:paraId="0CA09A58" w14:textId="77777777" w:rsidR="00904BF8" w:rsidRPr="00BF7201" w:rsidRDefault="00904BF8" w:rsidP="00A054B7">
      <w:pPr>
        <w:pStyle w:val="afffff5"/>
        <w:ind w:firstLine="420"/>
        <w:jc w:val="center"/>
      </w:pPr>
    </w:p>
    <w:sectPr w:rsidR="00904BF8" w:rsidRPr="00BF7201">
      <w:headerReference w:type="even" r:id="rId18"/>
      <w:headerReference w:type="default" r:id="rId19"/>
      <w:footerReference w:type="default" r:id="rId2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DC09" w14:textId="77777777" w:rsidR="00B10D42" w:rsidRDefault="00B10D42">
      <w:pPr>
        <w:spacing w:line="240" w:lineRule="auto"/>
      </w:pPr>
      <w:r>
        <w:separator/>
      </w:r>
    </w:p>
  </w:endnote>
  <w:endnote w:type="continuationSeparator" w:id="0">
    <w:p w14:paraId="03A4FF89" w14:textId="77777777" w:rsidR="00B10D42" w:rsidRDefault="00B10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488C" w14:textId="77777777" w:rsidR="00904BF8" w:rsidRDefault="00BF445F">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B21C" w14:textId="77777777" w:rsidR="00AD1867" w:rsidRDefault="00AD186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05A2" w14:textId="77777777" w:rsidR="00904BF8" w:rsidRDefault="00904BF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AF0B" w14:textId="2EC1A849" w:rsidR="00904BF8" w:rsidRDefault="00BF445F">
    <w:pPr>
      <w:pStyle w:val="afffff2"/>
    </w:pPr>
    <w:r>
      <w:fldChar w:fldCharType="begin"/>
    </w:r>
    <w:r>
      <w:instrText>PAGE   \* MERGEFORMAT</w:instrText>
    </w:r>
    <w:r>
      <w:fldChar w:fldCharType="separate"/>
    </w:r>
    <w:r w:rsidR="005A79B0" w:rsidRPr="005A79B0">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FC5E" w14:textId="77777777" w:rsidR="00B10D42" w:rsidRDefault="00B10D42">
      <w:pPr>
        <w:spacing w:line="240" w:lineRule="auto"/>
      </w:pPr>
      <w:r>
        <w:separator/>
      </w:r>
    </w:p>
  </w:footnote>
  <w:footnote w:type="continuationSeparator" w:id="0">
    <w:p w14:paraId="5032E3EA" w14:textId="77777777" w:rsidR="00B10D42" w:rsidRDefault="00B10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5DB1" w14:textId="77777777" w:rsidR="00AD1867" w:rsidRDefault="00AD186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96F8" w14:textId="77777777" w:rsidR="00904BF8" w:rsidRDefault="00BF445F">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E1B5" w14:textId="77777777" w:rsidR="00904BF8" w:rsidRDefault="00904BF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D574" w14:textId="77777777" w:rsidR="00904BF8" w:rsidRDefault="00BF445F">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9422" w14:textId="040AA215" w:rsidR="00904BF8" w:rsidRDefault="00BF445F">
    <w:pPr>
      <w:pStyle w:val="afffffa"/>
    </w:pPr>
    <w:r>
      <w:fldChar w:fldCharType="begin"/>
    </w:r>
    <w:r>
      <w:instrText xml:space="preserve"> STYLEREF  标准文件_文件编号  \* MERGEFORMAT </w:instrText>
    </w:r>
    <w:r>
      <w:fldChar w:fldCharType="separate"/>
    </w:r>
    <w:r w:rsidR="001B398D">
      <w:rPr>
        <w:noProof/>
      </w:rPr>
      <w:t>T/NMSP XXXX</w:t>
    </w:r>
    <w:r w:rsidR="001B398D">
      <w:rPr>
        <w:noProof/>
      </w:rPr>
      <w:t>—</w:t>
    </w:r>
    <w:r w:rsidR="001B398D">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b+9lEytUTiZx6EAv6SOSH1iZ4OTY28tksWp+X0DAvs+0BPbfL3b7DKPL06MiRDr3eCRyGFHZe6b+S6YqKdl8gw==" w:salt="EeJaKe/L0l1d7rNHcfj32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555"/>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98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090"/>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0C17"/>
    <w:rsid w:val="005A11B7"/>
    <w:rsid w:val="005A260B"/>
    <w:rsid w:val="005A4A1B"/>
    <w:rsid w:val="005A7830"/>
    <w:rsid w:val="005A79B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643"/>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570"/>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BF8"/>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4B7"/>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86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D42"/>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45F"/>
    <w:rsid w:val="00BF51E5"/>
    <w:rsid w:val="00BF7201"/>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9D4"/>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612"/>
    <w:rsid w:val="00EE0719"/>
    <w:rsid w:val="00EE0E80"/>
    <w:rsid w:val="00EE613F"/>
    <w:rsid w:val="00EE7295"/>
    <w:rsid w:val="00EE7869"/>
    <w:rsid w:val="00EF054A"/>
    <w:rsid w:val="00EF3235"/>
    <w:rsid w:val="00EF7E72"/>
    <w:rsid w:val="00F0014F"/>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072"/>
    <w:rsid w:val="00F859A8"/>
    <w:rsid w:val="00F86D87"/>
    <w:rsid w:val="00F9108B"/>
    <w:rsid w:val="00F91349"/>
    <w:rsid w:val="00F93A8A"/>
    <w:rsid w:val="00F95248"/>
    <w:rsid w:val="00F956A9"/>
    <w:rsid w:val="00F963ED"/>
    <w:rsid w:val="00F966CF"/>
    <w:rsid w:val="00F96CAE"/>
    <w:rsid w:val="00F97C99"/>
    <w:rsid w:val="00FA015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0A08864"/>
  <w15:docId w15:val="{FC61C6CB-38E9-4A0B-BA7B-778EB727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7D56CB" w:rsidRDefault="00FB78D4">
          <w:pPr>
            <w:pStyle w:val="E61B7D39EFC143768C08E5C89EA6C0D5"/>
          </w:pPr>
          <w:r>
            <w:rPr>
              <w:rStyle w:val="a3"/>
              <w:rFonts w:hint="eastAsia"/>
            </w:rPr>
            <w:t>单击或点击此处输入文字。</w:t>
          </w:r>
        </w:p>
      </w:docPartBody>
    </w:docPart>
    <w:docPart>
      <w:docPartPr>
        <w:name w:val="ABF6E006B1EA49B887AEFD52EFCDDFD6"/>
        <w:category>
          <w:name w:val="常规"/>
          <w:gallery w:val="placeholder"/>
        </w:category>
        <w:types>
          <w:type w:val="bbPlcHdr"/>
        </w:types>
        <w:behaviors>
          <w:behavior w:val="content"/>
        </w:behaviors>
        <w:guid w:val="{FD44C60C-C38A-48C9-BF57-E329E8C4E7C7}"/>
      </w:docPartPr>
      <w:docPartBody>
        <w:p w:rsidR="007D56CB" w:rsidRDefault="00FB78D4">
          <w:pPr>
            <w:pStyle w:val="ABF6E006B1EA49B887AEFD52EFCDDFD6"/>
          </w:pPr>
          <w:r>
            <w:rPr>
              <w:rStyle w:val="a3"/>
              <w:rFonts w:hint="eastAsia"/>
            </w:rPr>
            <w:t>选择一项。</w:t>
          </w:r>
        </w:p>
      </w:docPartBody>
    </w:docPart>
    <w:docPart>
      <w:docPartPr>
        <w:name w:val="C4F6F87A48134A07A3B2BDA96D31616F"/>
        <w:category>
          <w:name w:val="常规"/>
          <w:gallery w:val="placeholder"/>
        </w:category>
        <w:types>
          <w:type w:val="bbPlcHdr"/>
        </w:types>
        <w:behaviors>
          <w:behavior w:val="content"/>
        </w:behaviors>
        <w:guid w:val="{C7B0F26A-C61D-4A77-A500-C4FDC0E42ECF}"/>
      </w:docPartPr>
      <w:docPartBody>
        <w:p w:rsidR="007D56CB" w:rsidRDefault="00FB78D4">
          <w:pPr>
            <w:pStyle w:val="C4F6F87A48134A07A3B2BDA96D31616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513090"/>
    <w:rsid w:val="00767327"/>
    <w:rsid w:val="007D56CB"/>
    <w:rsid w:val="00982FCF"/>
    <w:rsid w:val="00EB51FE"/>
    <w:rsid w:val="00FA015F"/>
    <w:rsid w:val="00FB78D4"/>
    <w:rsid w:val="00FE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ABF6E006B1EA49B887AEFD52EFCDDFD6">
    <w:name w:val="ABF6E006B1EA49B887AEFD52EFCDDFD6"/>
    <w:pPr>
      <w:widowControl w:val="0"/>
      <w:jc w:val="both"/>
    </w:pPr>
    <w:rPr>
      <w:kern w:val="2"/>
      <w:sz w:val="21"/>
      <w:szCs w:val="22"/>
    </w:rPr>
  </w:style>
  <w:style w:type="paragraph" w:customStyle="1" w:styleId="C4F6F87A48134A07A3B2BDA96D31616F">
    <w:name w:val="C4F6F87A48134A07A3B2BDA96D31616F"/>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7AB63B9-DEFE-4FC4-B0C3-EBBE515DD6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3282</Words>
  <Characters>3447</Characters>
  <Application>Microsoft Office Word</Application>
  <DocSecurity>0</DocSecurity>
  <Lines>430</Lines>
  <Paragraphs>395</Paragraphs>
  <ScaleCrop>false</ScaleCrop>
  <Company>PCMI</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11</cp:revision>
  <cp:lastPrinted>2021-02-02T16:22:00Z</cp:lastPrinted>
  <dcterms:created xsi:type="dcterms:W3CDTF">2026-01-27T17:19:00Z</dcterms:created>
  <dcterms:modified xsi:type="dcterms:W3CDTF">2026-02-12T07:45:00Z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2052-0.0.0.0</vt:lpwstr>
  </property>
</Properties>
</file>