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7F7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A65235D">
            <w:pPr>
              <w:pStyle w:val="18"/>
              <w:tabs>
                <w:tab w:val="clear" w:pos="4153"/>
                <w:tab w:val="clear" w:pos="8306"/>
              </w:tabs>
              <w:spacing w:line="240" w:lineRule="auto"/>
              <w:jc w:val="left"/>
              <w:rPr>
                <w:rFonts w:ascii="黑体" w:hAnsi="黑体" w:eastAsia="黑体"/>
                <w:sz w:val="21"/>
                <w:szCs w:val="21"/>
              </w:rPr>
            </w:pPr>
            <w:r>
              <w:rPr>
                <w:rFonts w:ascii="黑体" w:hAnsi="黑体" w:eastAsia="黑体"/>
                <w:sz w:val="21"/>
                <w:szCs w:val="21"/>
              </w:rPr>
              <w:t xml:space="preserve">ICS  </w:t>
            </w:r>
          </w:p>
        </w:tc>
        <w:tc>
          <w:tcPr>
            <w:tcW w:w="8855" w:type="dxa"/>
          </w:tcPr>
          <w:p w14:paraId="53BD1F2D">
            <w:pPr>
              <w:pStyle w:val="1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67.120.10</w:t>
            </w:r>
            <w:r>
              <w:rPr>
                <w:rFonts w:ascii="黑体" w:hAnsi="黑体" w:eastAsia="黑体"/>
                <w:sz w:val="21"/>
                <w:szCs w:val="21"/>
              </w:rPr>
              <w:fldChar w:fldCharType="end"/>
            </w:r>
          </w:p>
        </w:tc>
      </w:tr>
      <w:tr w14:paraId="441F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6BE445C">
            <w:pPr>
              <w:pStyle w:val="1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 xml:space="preserve">CCS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DC29C2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CF45C88">
                  <w:pPr>
                    <w:pStyle w:val="49"/>
                    <w:framePr w:w="0" w:hRule="auto" w:wrap="auto" w:vAnchor="margin" w:hAnchor="text" w:xAlign="left" w:yAlign="inline"/>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0" w:name="c1"/>
                  <w:r>
                    <w:instrText xml:space="preserve"> FORMTEXT </w:instrText>
                  </w:r>
                  <w:r>
                    <w:fldChar w:fldCharType="separate"/>
                  </w:r>
                  <w:r>
                    <w:rPr>
                      <w:rFonts w:hint="eastAsia"/>
                    </w:rPr>
                    <w:t>NMSP</w:t>
                  </w:r>
                  <w:r>
                    <w:fldChar w:fldCharType="end"/>
                  </w:r>
                  <w:bookmarkEnd w:id="0"/>
                </w:p>
              </w:tc>
            </w:tr>
          </w:tbl>
          <w:p w14:paraId="2543A270">
            <w:pPr>
              <w:pStyle w:val="1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X 22</w:t>
            </w:r>
          </w:p>
        </w:tc>
      </w:tr>
    </w:tbl>
    <w:p w14:paraId="2C5DE849">
      <w:pPr>
        <w:pStyle w:val="50"/>
        <w:framePr w:w="9639" w:h="624" w:hRule="exact" w:hSpace="181" w:vSpace="181" w:wrap="around" w:hAnchor="page" w:x="1305" w:y="2269"/>
        <w:rPr>
          <w:rFonts w:ascii="黑体" w:hAnsi="黑体" w:eastAsia="黑体"/>
          <w:b w:val="0"/>
          <w:bCs w:val="0"/>
          <w:w w:val="100"/>
          <w:sz w:val="48"/>
          <w:szCs w:val="48"/>
        </w:rPr>
      </w:pPr>
      <w:bookmarkStart w:id="1"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14:paraId="53085B3F">
      <w:pPr>
        <w:pStyle w:val="195"/>
        <w:framePr w:x="1430" w:y="3501"/>
        <w:rPr>
          <w:rFonts w:hAnsi="黑体"/>
        </w:rPr>
      </w:pPr>
      <w:r>
        <w:t>T/</w:t>
      </w:r>
      <w:r>
        <w:fldChar w:fldCharType="begin">
          <w:ffData>
            <w:name w:val="文字1"/>
            <w:enabled/>
            <w:calcOnExit w:val="0"/>
            <w:textInput>
              <w:default w:val="XXX"/>
            </w:textInput>
          </w:ffData>
        </w:fldChar>
      </w:r>
      <w:bookmarkStart w:id="2" w:name="文字1"/>
      <w:r>
        <w:instrText xml:space="preserve"> FORMTEXT </w:instrText>
      </w:r>
      <w:r>
        <w:fldChar w:fldCharType="separate"/>
      </w:r>
      <w:r>
        <w:rPr>
          <w:rFonts w:hint="eastAsia"/>
        </w:rPr>
        <w:t>NMSP.</w:t>
      </w:r>
      <w:r>
        <w:fldChar w:fldCharType="end"/>
      </w:r>
      <w:bookmarkEnd w:id="2"/>
      <w:r>
        <w:t xml:space="preserve"> </w:t>
      </w:r>
      <w:bookmarkStart w:id="3" w:name="NSTD_CODE_F"/>
      <w:r>
        <w:rPr>
          <w:rFonts w:hint="eastAsia" w:ascii="黑体" w:hAnsi="Times New Roman" w:eastAsia="黑体" w:cs="Times New Roman"/>
          <w:bCs/>
          <w:sz w:val="28"/>
          <w:szCs w:val="28"/>
          <w:lang w:val="en-US" w:eastAsia="zh-CN" w:bidi="ar-SA"/>
        </w:rPr>
        <w:fldChar w:fldCharType="begin">
          <w:ffData>
            <w:name w:val="NSTD_CODE_F"/>
            <w:enabled/>
            <w:calcOnExit w:val="0"/>
            <w:textInput>
              <w:default w:val="XXXX"/>
            </w:textInput>
          </w:ffData>
        </w:fldChar>
      </w:r>
      <w:r>
        <w:rPr>
          <w:rFonts w:hint="eastAsia" w:ascii="黑体" w:hAnsi="Times New Roman" w:eastAsia="黑体" w:cs="Times New Roman"/>
          <w:bCs/>
          <w:sz w:val="28"/>
          <w:szCs w:val="28"/>
          <w:lang w:val="en-US" w:eastAsia="zh-CN" w:bidi="ar-SA"/>
        </w:rPr>
        <w:instrText xml:space="preserve">FORMTEXT</w:instrText>
      </w:r>
      <w:r>
        <w:rPr>
          <w:rFonts w:hint="eastAsia" w:ascii="黑体" w:hAnsi="Times New Roman" w:eastAsia="黑体" w:cs="Times New Roman"/>
          <w:bCs/>
          <w:sz w:val="28"/>
          <w:szCs w:val="28"/>
          <w:lang w:val="en-US" w:eastAsia="zh-CN" w:bidi="ar-SA"/>
        </w:rPr>
        <w:fldChar w:fldCharType="separate"/>
      </w:r>
      <w:r>
        <w:rPr>
          <w:rFonts w:hint="eastAsia" w:ascii="黑体" w:hAnsi="Times New Roman" w:eastAsia="黑体" w:cs="Times New Roman"/>
          <w:bCs/>
          <w:sz w:val="28"/>
          <w:szCs w:val="28"/>
          <w:lang w:val="en-US" w:eastAsia="zh-CN" w:bidi="ar-SA"/>
        </w:rPr>
        <w:t>XXXX</w:t>
      </w:r>
      <w:r>
        <w:rPr>
          <w:rFonts w:hint="eastAsia" w:ascii="黑体" w:hAnsi="Times New Roman" w:eastAsia="黑体" w:cs="Times New Roman"/>
          <w:bCs/>
          <w:sz w:val="28"/>
          <w:szCs w:val="28"/>
          <w:lang w:val="en-US" w:eastAsia="zh-CN" w:bidi="ar-SA"/>
        </w:rPr>
        <w:fldChar w:fldCharType="end"/>
      </w:r>
      <w:bookmarkEnd w:id="3"/>
      <w:r>
        <w:rPr>
          <w:rFonts w:hAnsi="黑体"/>
        </w:rPr>
        <w:t>—</w:t>
      </w:r>
      <w:bookmarkStart w:id="4" w:name="NSTD_CODE_B"/>
      <w:r>
        <w:rPr>
          <w:rFonts w:hint="eastAsia" w:ascii="黑体" w:hAnsi="Times New Roman" w:eastAsia="黑体" w:cs="Times New Roman"/>
          <w:bCs/>
          <w:sz w:val="28"/>
          <w:szCs w:val="28"/>
          <w:lang w:val="en-US" w:eastAsia="zh-CN" w:bidi="ar-SA"/>
        </w:rPr>
        <w:fldChar w:fldCharType="begin">
          <w:ffData>
            <w:name w:val="NSTD_CODE_B"/>
            <w:enabled/>
            <w:calcOnExit w:val="0"/>
            <w:textInput>
              <w:default w:val="XXXX"/>
            </w:textInput>
          </w:ffData>
        </w:fldChar>
      </w:r>
      <w:r>
        <w:rPr>
          <w:rFonts w:hint="eastAsia" w:ascii="黑体" w:hAnsi="Times New Roman" w:eastAsia="黑体" w:cs="Times New Roman"/>
          <w:bCs/>
          <w:sz w:val="28"/>
          <w:szCs w:val="28"/>
          <w:lang w:val="en-US" w:eastAsia="zh-CN" w:bidi="ar-SA"/>
        </w:rPr>
        <w:instrText xml:space="preserve">FORMTEXT</w:instrText>
      </w:r>
      <w:r>
        <w:rPr>
          <w:rFonts w:hint="eastAsia" w:ascii="黑体" w:hAnsi="Times New Roman" w:eastAsia="黑体" w:cs="Times New Roman"/>
          <w:bCs/>
          <w:sz w:val="28"/>
          <w:szCs w:val="28"/>
          <w:lang w:val="en-US" w:eastAsia="zh-CN" w:bidi="ar-SA"/>
        </w:rPr>
        <w:fldChar w:fldCharType="separate"/>
      </w:r>
      <w:r>
        <w:rPr>
          <w:rFonts w:hint="eastAsia" w:ascii="黑体" w:hAnsi="Times New Roman" w:eastAsia="黑体" w:cs="Times New Roman"/>
          <w:bCs/>
          <w:sz w:val="28"/>
          <w:szCs w:val="28"/>
          <w:lang w:val="en-US" w:eastAsia="zh-CN" w:bidi="ar-SA"/>
        </w:rPr>
        <w:t>XXXX</w:t>
      </w:r>
      <w:r>
        <w:rPr>
          <w:rFonts w:hint="eastAsia" w:ascii="黑体" w:hAnsi="Times New Roman" w:eastAsia="黑体" w:cs="Times New Roman"/>
          <w:bCs/>
          <w:sz w:val="28"/>
          <w:szCs w:val="28"/>
          <w:lang w:val="en-US" w:eastAsia="zh-CN" w:bidi="ar-SA"/>
        </w:rPr>
        <w:fldChar w:fldCharType="end"/>
      </w:r>
      <w:bookmarkEnd w:id="4"/>
    </w:p>
    <w:p w14:paraId="0853CA4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63F5042">
      <w:pPr>
        <w:pStyle w:val="50"/>
        <w:framePr w:w="9639" w:h="6976" w:hRule="exact" w:hSpace="0" w:vSpace="0" w:wrap="around" w:hAnchor="page" w:y="6408"/>
        <w:jc w:val="center"/>
        <w:rPr>
          <w:rFonts w:ascii="黑体" w:hAnsi="黑体" w:eastAsia="黑体"/>
          <w:b w:val="0"/>
          <w:bCs w:val="0"/>
          <w:w w:val="100"/>
        </w:rPr>
      </w:pPr>
    </w:p>
    <w:p w14:paraId="5EA1FD96">
      <w:pPr>
        <w:pStyle w:val="197"/>
        <w:framePr w:h="6974" w:hRule="exact" w:wrap="around" w:x="1419" w:anchorLock="1"/>
      </w:pPr>
      <w:bookmarkStart w:id="5" w:name="CSTD_NAME"/>
      <w:r>
        <w:fldChar w:fldCharType="begin">
          <w:ffData>
            <w:name w:val="CSTD_NAME"/>
            <w:enabled/>
            <w:calcOnExit w:val="0"/>
            <w:textInput>
              <w:default w:val="“蒙”字标认证要求 烤羊腿"/>
            </w:textInput>
          </w:ffData>
        </w:fldChar>
      </w:r>
      <w:r>
        <w:instrText xml:space="preserve"> FORMTEXT </w:instrText>
      </w:r>
      <w:r>
        <w:fldChar w:fldCharType="separate"/>
      </w:r>
      <w:r>
        <w:t>"蒙"字标</w:t>
      </w:r>
      <w:r>
        <w:rPr>
          <w:rFonts w:hint="eastAsia"/>
          <w:lang w:val="en-US" w:eastAsia="zh-CN"/>
        </w:rPr>
        <w:t>畜产品</w:t>
      </w:r>
      <w:r>
        <w:t>认证要求</w:t>
      </w:r>
    </w:p>
    <w:p w14:paraId="4A73E8BE">
      <w:pPr>
        <w:pStyle w:val="197"/>
        <w:framePr w:h="6974" w:hRule="exact" w:wrap="around" w:x="1419" w:anchorLock="1"/>
      </w:pPr>
      <w:r>
        <w:t xml:space="preserve"> 烤羊腿</w:t>
      </w:r>
      <w:r>
        <w:fldChar w:fldCharType="end"/>
      </w:r>
      <w:bookmarkEnd w:id="5"/>
    </w:p>
    <w:p w14:paraId="31E749FF">
      <w:pPr>
        <w:framePr w:w="9639" w:h="6974" w:hRule="exact" w:wrap="around" w:vAnchor="page" w:hAnchor="page" w:x="1419" w:y="6408" w:anchorLock="1"/>
        <w:ind w:left="-1418"/>
      </w:pPr>
    </w:p>
    <w:p w14:paraId="5050F332">
      <w:pPr>
        <w:pStyle w:val="125"/>
        <w:framePr w:w="9639" w:h="6974" w:hRule="exact" w:wrap="around" w:vAnchor="page" w:hAnchor="page" w:x="1419" w:y="6408" w:anchorLock="1"/>
        <w:textAlignment w:val="bottom"/>
        <w:rPr>
          <w:rFonts w:eastAsia="黑体"/>
          <w:szCs w:val="28"/>
        </w:rPr>
      </w:pPr>
      <w:bookmarkStart w:id="6" w:name="ESTD_NAME"/>
      <w:r>
        <w:rPr>
          <w:rFonts w:hint="eastAsia" w:ascii="黑体" w:hAnsi="黑体" w:eastAsia="黑体" w:cs="黑体"/>
          <w:szCs w:val="28"/>
        </w:rPr>
        <w:fldChar w:fldCharType="begin">
          <w:ffData>
            <w:name w:val="ESTD_NAME"/>
            <w:enabled/>
            <w:calcOnExit w:val="0"/>
            <w:textInput>
              <w:default w:val="&quot;Nei Meng Gu Brand&quot;Certification Requirements for Grilled Lamb Leg"/>
            </w:textInput>
          </w:ffData>
        </w:fldChar>
      </w:r>
      <w:r>
        <w:rPr>
          <w:rFonts w:hint="eastAsia" w:ascii="黑体" w:hAnsi="黑体" w:eastAsia="黑体" w:cs="黑体"/>
          <w:szCs w:val="28"/>
        </w:rPr>
        <w:instrText xml:space="preserve"> FORMTEXT </w:instrText>
      </w:r>
      <w:r>
        <w:rPr>
          <w:rFonts w:hint="eastAsia" w:ascii="黑体" w:hAnsi="黑体" w:eastAsia="黑体" w:cs="黑体"/>
          <w:szCs w:val="28"/>
        </w:rPr>
        <w:fldChar w:fldCharType="separate"/>
      </w:r>
      <w:r>
        <w:rPr>
          <w:rFonts w:hint="eastAsia" w:ascii="黑体" w:hAnsi="黑体" w:eastAsia="黑体" w:cs="黑体"/>
          <w:szCs w:val="28"/>
        </w:rPr>
        <w:t>"Nei Meng Gu Brand"Certification Requirements for Certified Meng Brand Roast</w:t>
      </w:r>
      <w:r>
        <w:rPr>
          <w:rFonts w:hint="eastAsia" w:ascii="黑体" w:hAnsi="黑体" w:eastAsia="黑体" w:cs="黑体"/>
          <w:szCs w:val="28"/>
          <w:lang w:val="en-US" w:eastAsia="zh-CN"/>
        </w:rPr>
        <w:t xml:space="preserve"> </w:t>
      </w:r>
      <w:bookmarkStart w:id="35" w:name="_GoBack"/>
      <w:bookmarkEnd w:id="35"/>
      <w:r>
        <w:rPr>
          <w:rFonts w:hint="eastAsia" w:ascii="黑体" w:hAnsi="黑体" w:eastAsia="黑体" w:cs="黑体"/>
          <w:szCs w:val="28"/>
        </w:rPr>
        <w:t>Lamb Leg</w:t>
      </w:r>
      <w:r>
        <w:rPr>
          <w:rFonts w:hint="eastAsia" w:ascii="黑体" w:hAnsi="黑体" w:eastAsia="黑体" w:cs="黑体"/>
          <w:szCs w:val="28"/>
        </w:rPr>
        <w:fldChar w:fldCharType="end"/>
      </w:r>
      <w:bookmarkEnd w:id="6"/>
    </w:p>
    <w:p w14:paraId="59C1F216">
      <w:pPr>
        <w:framePr w:w="9639" w:h="6974" w:hRule="exact" w:wrap="around" w:vAnchor="page" w:hAnchor="page" w:x="1419" w:y="6408" w:anchorLock="1"/>
        <w:spacing w:line="760" w:lineRule="exact"/>
        <w:ind w:left="-1418"/>
      </w:pPr>
    </w:p>
    <w:p w14:paraId="578204C6">
      <w:pPr>
        <w:pStyle w:val="125"/>
        <w:framePr w:w="9639" w:h="6974" w:hRule="exact" w:wrap="around" w:vAnchor="page" w:hAnchor="page" w:x="1419" w:y="6408" w:anchorLock="1"/>
        <w:textAlignment w:val="bottom"/>
        <w:rPr>
          <w:rFonts w:eastAsia="黑体"/>
          <w:szCs w:val="28"/>
        </w:rPr>
      </w:pPr>
    </w:p>
    <w:p w14:paraId="0B77BA6C">
      <w:pPr>
        <w:pStyle w:val="125"/>
        <w:framePr w:w="9639" w:h="6974" w:hRule="exact" w:wrap="around" w:vAnchor="page" w:hAnchor="page" w:x="1419" w:y="6408" w:anchorLock="1"/>
        <w:spacing w:before="440" w:after="160"/>
        <w:textAlignment w:val="bottom"/>
        <w:rPr>
          <w:sz w:val="24"/>
          <w:szCs w:val="28"/>
        </w:rPr>
      </w:pPr>
    </w:p>
    <w:p w14:paraId="75098E18">
      <w:pPr>
        <w:pStyle w:val="125"/>
        <w:framePr w:w="9639" w:h="6974" w:hRule="exact" w:wrap="around" w:vAnchor="page" w:hAnchor="page" w:x="1419" w:y="6408" w:anchorLock="1"/>
        <w:spacing w:before="180" w:line="240" w:lineRule="atLeast"/>
        <w:textAlignment w:val="bottom"/>
        <w:rPr>
          <w:sz w:val="21"/>
          <w:szCs w:val="28"/>
        </w:rPr>
      </w:pPr>
    </w:p>
    <w:p w14:paraId="4EDE4A1E">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20652F20">
      <w:pPr>
        <w:pStyle w:val="193"/>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14:paraId="482FF331">
      <w:pPr>
        <w:pStyle w:val="194"/>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14:paraId="5430C755">
      <w:pPr>
        <w:pStyle w:val="151"/>
        <w:framePr w:h="584" w:hRule="exact" w:hSpace="181" w:vSpace="181" w:wrap="around" w:y="15027"/>
        <w:rPr>
          <w:rFonts w:hAnsi="黑体"/>
        </w:rPr>
      </w:pPr>
      <w:bookmarkStart w:id="13" w:name="fm"/>
      <w:r>
        <w:rPr>
          <w:rFonts w:hAnsi="黑体"/>
          <w:w w:val="100"/>
          <w:sz w:val="28"/>
        </w:rPr>
        <w:fldChar w:fldCharType="begin">
          <w:ffData>
            <w:name w:val="fm"/>
            <w:enabled/>
            <w:calcOnExit w:val="0"/>
            <w:textInput>
              <w:default w:val="内蒙古标准发展促进会"/>
            </w:textInput>
          </w:ffData>
        </w:fldChar>
      </w:r>
      <w:r>
        <w:rPr>
          <w:rFonts w:hAnsi="黑体"/>
          <w:w w:val="100"/>
          <w:sz w:val="28"/>
        </w:rPr>
        <w:instrText xml:space="preserve"> FORMTEXT </w:instrText>
      </w:r>
      <w:r>
        <w:rPr>
          <w:rFonts w:hAnsi="黑体"/>
          <w:w w:val="100"/>
          <w:sz w:val="28"/>
        </w:rPr>
        <w:fldChar w:fldCharType="separate"/>
      </w:r>
      <w:r>
        <w:rPr>
          <w:rFonts w:hAnsi="黑体"/>
          <w:w w:val="100"/>
          <w:sz w:val="28"/>
        </w:rPr>
        <w:t>内蒙古标准发展促进会</w:t>
      </w:r>
      <w:r>
        <w:rPr>
          <w:rFonts w:hAnsi="黑体"/>
          <w:w w:val="100"/>
          <w:sz w:val="28"/>
        </w:rPr>
        <w:fldChar w:fldCharType="end"/>
      </w:r>
      <w:bookmarkEnd w:id="13"/>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EEEF3D4">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9093405">
      <w:pPr>
        <w:pStyle w:val="89"/>
        <w:spacing w:after="468"/>
      </w:pPr>
      <w:bookmarkStart w:id="14" w:name="BookMark2"/>
      <w:r>
        <w:rPr>
          <w:spacing w:val="320"/>
        </w:rPr>
        <w:t>前</w:t>
      </w:r>
      <w:r>
        <w:t>言</w:t>
      </w:r>
    </w:p>
    <w:p w14:paraId="4E59E037">
      <w:pPr>
        <w:pStyle w:val="56"/>
        <w:ind w:firstLine="420"/>
      </w:pPr>
      <w:r>
        <w:rPr>
          <w:rFonts w:hint="eastAsia"/>
        </w:rPr>
        <w:t>本文件按照GB/T 1.1—2020《标准化工作导则  第1部分：标准化文件的结构和起草规则》的规定起草。</w:t>
      </w:r>
    </w:p>
    <w:p w14:paraId="524D0412">
      <w:pPr>
        <w:pStyle w:val="56"/>
        <w:ind w:firstLine="420"/>
      </w:pPr>
    </w:p>
    <w:p w14:paraId="552F3928">
      <w:pPr>
        <w:pStyle w:val="56"/>
        <w:ind w:firstLine="420"/>
      </w:pPr>
    </w:p>
    <w:p w14:paraId="5DA8B359">
      <w:pPr>
        <w:pStyle w:val="56"/>
        <w:ind w:firstLine="420"/>
      </w:pPr>
    </w:p>
    <w:p w14:paraId="496ECEF9">
      <w:pPr>
        <w:pStyle w:val="56"/>
        <w:ind w:firstLine="420"/>
      </w:pPr>
      <w:r>
        <w:rPr>
          <w:rFonts w:hint="eastAsia"/>
        </w:rPr>
        <w:t>本文件由××××提出。</w:t>
      </w:r>
    </w:p>
    <w:p w14:paraId="67B981C3">
      <w:pPr>
        <w:pStyle w:val="56"/>
        <w:ind w:firstLine="420"/>
      </w:pPr>
      <w:r>
        <w:rPr>
          <w:rFonts w:hint="eastAsia"/>
        </w:rPr>
        <w:t>本文件由××××归口。</w:t>
      </w:r>
    </w:p>
    <w:p w14:paraId="16A71CC3">
      <w:pPr>
        <w:pStyle w:val="56"/>
        <w:ind w:firstLine="420"/>
      </w:pPr>
      <w:r>
        <w:rPr>
          <w:rFonts w:hint="eastAsia"/>
        </w:rPr>
        <w:t>本文件起草单位：</w:t>
      </w:r>
    </w:p>
    <w:p w14:paraId="6CC37477">
      <w:pPr>
        <w:pStyle w:val="56"/>
        <w:ind w:firstLine="420"/>
      </w:pPr>
      <w:r>
        <w:rPr>
          <w:rFonts w:hint="eastAsia"/>
        </w:rPr>
        <w:t>本文件主要起草人：</w:t>
      </w:r>
    </w:p>
    <w:p w14:paraId="0E091294">
      <w:pPr>
        <w:pStyle w:val="56"/>
        <w:ind w:firstLine="420"/>
      </w:pPr>
    </w:p>
    <w:p w14:paraId="31E71D4E">
      <w:pPr>
        <w:pStyle w:val="56"/>
        <w:ind w:firstLine="420"/>
        <w:sectPr>
          <w:headerReference r:id="rId11" w:type="default"/>
          <w:footerReference r:id="rId13" w:type="default"/>
          <w:headerReference r:id="rId12" w:type="even"/>
          <w:footerReference r:id="rId14" w:type="even"/>
          <w:pgSz w:w="11906" w:h="16838"/>
          <w:pgMar w:top="1871" w:right="1134" w:bottom="1134" w:left="1134" w:header="1418" w:footer="1134" w:gutter="284"/>
          <w:pgNumType w:fmt="upperRoman" w:start="1"/>
          <w:cols w:space="425" w:num="1"/>
          <w:formProt w:val="0"/>
          <w:docGrid w:type="lines" w:linePitch="312" w:charSpace="0"/>
        </w:sectPr>
      </w:pPr>
    </w:p>
    <w:bookmarkEnd w:id="14"/>
    <w:p w14:paraId="49CA1EA8">
      <w:pPr>
        <w:spacing w:line="20" w:lineRule="exact"/>
        <w:jc w:val="center"/>
        <w:rPr>
          <w:rFonts w:ascii="黑体" w:hAnsi="黑体" w:eastAsia="黑体"/>
          <w:sz w:val="32"/>
          <w:szCs w:val="32"/>
        </w:rPr>
      </w:pPr>
      <w:bookmarkStart w:id="15" w:name="BookMark4"/>
    </w:p>
    <w:p w14:paraId="324AAFA4">
      <w:pPr>
        <w:spacing w:line="20" w:lineRule="exact"/>
        <w:jc w:val="center"/>
        <w:rPr>
          <w:rFonts w:ascii="黑体" w:hAnsi="黑体" w:eastAsia="黑体"/>
          <w:sz w:val="32"/>
          <w:szCs w:val="32"/>
        </w:rPr>
      </w:pPr>
    </w:p>
    <w:sdt>
      <w:sdtPr>
        <w:tag w:val="NEW_STAND_NAME"/>
        <w:id w:val="595910757"/>
        <w:lock w:val="sdtLocked"/>
        <w:placeholder>
          <w:docPart w:val="F04BD99C5D504E3BBC67F4D9B5F36539"/>
        </w:placeholder>
      </w:sdtPr>
      <w:sdtContent>
        <w:p w14:paraId="370F8020">
          <w:pPr>
            <w:pStyle w:val="177"/>
            <w:spacing w:before="567" w:beforeLines="182" w:after="686" w:afterLines="220"/>
          </w:pPr>
          <w:bookmarkStart w:id="16" w:name="NEW_STAND_NAME"/>
          <w:r>
            <w:t>"蒙"字标认证要求 烤羊腿</w:t>
          </w:r>
        </w:p>
      </w:sdtContent>
    </w:sdt>
    <w:bookmarkEnd w:id="16"/>
    <w:p w14:paraId="4BA27010">
      <w:pPr>
        <w:pStyle w:val="104"/>
        <w:spacing w:before="312" w:after="312"/>
      </w:pPr>
      <w:bookmarkStart w:id="17" w:name="_Toc17233325"/>
      <w:bookmarkStart w:id="18" w:name="_Toc26718930"/>
      <w:bookmarkStart w:id="19" w:name="_Toc26986771"/>
      <w:bookmarkStart w:id="20" w:name="_Toc26648465"/>
      <w:bookmarkStart w:id="21" w:name="_Toc26986530"/>
      <w:bookmarkStart w:id="22" w:name="_Toc24884211"/>
      <w:bookmarkStart w:id="23" w:name="_Toc24884218"/>
      <w:bookmarkStart w:id="24" w:name="_Toc17233333"/>
      <w:r>
        <w:rPr>
          <w:rFonts w:hint="eastAsia"/>
        </w:rPr>
        <w:t>范围</w:t>
      </w:r>
      <w:bookmarkEnd w:id="17"/>
      <w:bookmarkEnd w:id="18"/>
      <w:bookmarkEnd w:id="19"/>
      <w:bookmarkEnd w:id="20"/>
      <w:bookmarkEnd w:id="21"/>
      <w:bookmarkEnd w:id="22"/>
      <w:bookmarkEnd w:id="23"/>
      <w:bookmarkEnd w:id="24"/>
    </w:p>
    <w:p w14:paraId="386EE7DD">
      <w:pPr>
        <w:pStyle w:val="56"/>
        <w:ind w:firstLine="420"/>
        <w:rPr>
          <w:rFonts w:ascii="Segoe UI" w:hAnsi="Segoe UI" w:cs="Segoe UI"/>
          <w:color w:val="0F1115"/>
          <w:shd w:val="clear" w:color="auto" w:fill="FFFFFF"/>
        </w:rPr>
      </w:pPr>
      <w:bookmarkStart w:id="25" w:name="_Toc17233334"/>
      <w:bookmarkStart w:id="26" w:name="_Toc26648466"/>
      <w:bookmarkStart w:id="27" w:name="_Toc24884219"/>
      <w:bookmarkStart w:id="28" w:name="_Toc17233326"/>
      <w:bookmarkStart w:id="29" w:name="_Toc24884212"/>
      <w:r>
        <w:rPr>
          <w:rFonts w:ascii="Segoe UI" w:hAnsi="Segoe UI" w:cs="Segoe UI"/>
          <w:color w:val="0F1115"/>
          <w:shd w:val="clear" w:color="auto" w:fill="FFFFFF"/>
        </w:rPr>
        <w:t>本标准规定了“蒙”字标认证餐饮服务中烤羊腿的术语和定义、产品分类、技术要求、检验方法、认证评价规则、标签、包装、运输与贮存要求。</w:t>
      </w:r>
    </w:p>
    <w:p w14:paraId="0418D31F">
      <w:pPr>
        <w:pStyle w:val="56"/>
        <w:ind w:firstLine="420"/>
      </w:pPr>
      <w:bookmarkStart w:id="30" w:name="_Toc26986772"/>
      <w:bookmarkStart w:id="31" w:name="_Toc26718931"/>
      <w:bookmarkStart w:id="32" w:name="_Toc26986531"/>
      <w:r>
        <w:rPr>
          <w:rFonts w:hint="eastAsia"/>
        </w:rPr>
        <w:t>本文件适用于内蒙古堂食现烤、预制调理烤羊</w:t>
      </w:r>
      <w:r>
        <w:rPr>
          <w:rFonts w:hint="eastAsia"/>
          <w:lang w:val="en-US" w:eastAsia="zh-CN"/>
        </w:rPr>
        <w:t>腿</w:t>
      </w:r>
      <w:r>
        <w:rPr>
          <w:rFonts w:hint="eastAsia"/>
        </w:rPr>
        <w:t>“蒙”字标认证和监督管理。</w:t>
      </w:r>
    </w:p>
    <w:p w14:paraId="38760363">
      <w:pPr>
        <w:pStyle w:val="104"/>
        <w:spacing w:before="312" w:after="312"/>
      </w:pPr>
      <w:r>
        <w:rPr>
          <w:rFonts w:hint="eastAsia"/>
        </w:rPr>
        <w:t>规范性引用文件</w:t>
      </w:r>
      <w:bookmarkEnd w:id="25"/>
      <w:bookmarkEnd w:id="26"/>
      <w:bookmarkEnd w:id="27"/>
      <w:bookmarkEnd w:id="28"/>
      <w:bookmarkEnd w:id="29"/>
      <w:bookmarkEnd w:id="30"/>
      <w:bookmarkEnd w:id="31"/>
      <w:bookmarkEnd w:id="32"/>
    </w:p>
    <w:sdt>
      <w:sdtPr>
        <w:rPr>
          <w:rFonts w:hint="eastAsia"/>
        </w:rPr>
        <w:id w:val="715848253"/>
        <w:placeholder>
          <w:docPart w:val="11C916B81EF743719225645597D9E41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CD790A5">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6A707E3">
      <w:pPr>
        <w:pStyle w:val="56"/>
        <w:ind w:firstLine="420"/>
        <w:rPr>
          <w:rFonts w:hint="default" w:hAnsi="宋体" w:eastAsia="宋体"/>
          <w:color w:val="C00000"/>
          <w:lang w:val="en-US" w:eastAsia="zh-CN"/>
        </w:rPr>
      </w:pPr>
      <w:r>
        <w:rPr>
          <w:rFonts w:hint="eastAsia" w:hAnsi="宋体"/>
          <w:color w:val="000000" w:themeColor="text1"/>
          <w14:textFill>
            <w14:solidFill>
              <w14:schemeClr w14:val="tx1"/>
            </w14:solidFill>
          </w14:textFill>
        </w:rPr>
        <w:t>GB/T 191  包装储运图示标志</w:t>
      </w:r>
    </w:p>
    <w:p w14:paraId="787807C2">
      <w:pPr>
        <w:pStyle w:val="56"/>
        <w:ind w:firstLine="420"/>
        <w:rPr>
          <w:rFonts w:hAnsi="宋体"/>
        </w:rPr>
      </w:pPr>
      <w:r>
        <w:rPr>
          <w:rFonts w:hint="eastAsia" w:cs="Calibri"/>
        </w:rPr>
        <w:t>GB 14881</w:t>
      </w:r>
      <w:r>
        <w:rPr>
          <w:rFonts w:hint="eastAsia" w:hAnsi="宋体"/>
        </w:rPr>
        <w:t xml:space="preserve">  </w:t>
      </w:r>
      <w:r>
        <w:rPr>
          <w:rFonts w:hAnsi="宋体"/>
        </w:rPr>
        <w:t>食品安全国家标准</w:t>
      </w:r>
      <w:r>
        <w:t xml:space="preserve"> </w:t>
      </w:r>
      <w:r>
        <w:rPr>
          <w:rFonts w:hAnsi="宋体"/>
        </w:rPr>
        <w:t>食品生产通用卫生规范</w:t>
      </w:r>
    </w:p>
    <w:p w14:paraId="5BA95498">
      <w:pPr>
        <w:pStyle w:val="56"/>
        <w:ind w:firstLine="420"/>
      </w:pPr>
      <w:r>
        <w:rPr>
          <w:rFonts w:hint="eastAsia"/>
        </w:rPr>
        <w:t>GB/T 15691 香辛料调味品通用技术条件</w:t>
      </w:r>
    </w:p>
    <w:p w14:paraId="5EBC38A2">
      <w:pPr>
        <w:pStyle w:val="56"/>
        <w:ind w:firstLine="420"/>
        <w:rPr>
          <w:rFonts w:hint="eastAsia" w:hAnsi="宋体"/>
        </w:rPr>
      </w:pPr>
      <w:r>
        <w:rPr>
          <w:rFonts w:hint="eastAsia" w:hAnsi="宋体"/>
        </w:rPr>
        <w:t>GB 19303  食品安全国家标准 熟肉制品生产卫生规范</w:t>
      </w:r>
    </w:p>
    <w:p w14:paraId="7B4756A5">
      <w:pPr>
        <w:pStyle w:val="56"/>
        <w:ind w:firstLine="420"/>
      </w:pPr>
      <w:r>
        <w:rPr>
          <w:rFonts w:hint="eastAsia"/>
        </w:rPr>
        <w:t>GB/T 20883 麦芽糖</w:t>
      </w:r>
    </w:p>
    <w:p w14:paraId="23E6B5DA">
      <w:pPr>
        <w:pStyle w:val="56"/>
        <w:ind w:firstLine="420"/>
      </w:pPr>
      <w:r>
        <w:rPr>
          <w:rFonts w:hint="eastAsia" w:hAnsi="宋体"/>
        </w:rPr>
        <w:t>GB</w:t>
      </w:r>
      <w:r>
        <w:rPr>
          <w:rFonts w:hint="eastAsia" w:hAnsi="宋体"/>
          <w:lang w:val="en-US" w:eastAsia="zh-CN"/>
        </w:rPr>
        <w:t>/T</w:t>
      </w:r>
      <w:r>
        <w:rPr>
          <w:rFonts w:hint="eastAsia" w:hAnsi="宋体"/>
        </w:rPr>
        <w:t xml:space="preserve"> 2</w:t>
      </w:r>
      <w:r>
        <w:rPr>
          <w:rFonts w:hint="eastAsia" w:hAnsi="宋体"/>
          <w:lang w:val="en-US" w:eastAsia="zh-CN"/>
        </w:rPr>
        <w:t>2210</w:t>
      </w:r>
      <w:r>
        <w:rPr>
          <w:rFonts w:hint="eastAsia" w:hAnsi="宋体"/>
        </w:rPr>
        <w:t xml:space="preserve">  肉与肉制品感官评定规范</w:t>
      </w:r>
    </w:p>
    <w:p w14:paraId="2C62CC16">
      <w:pPr>
        <w:pStyle w:val="56"/>
        <w:ind w:firstLine="420"/>
      </w:pPr>
      <w:r>
        <w:rPr>
          <w:rFonts w:hint="eastAsia"/>
        </w:rPr>
        <w:t>GB 2707 食品安全国家标准 鲜（冻）畜、禽产品</w:t>
      </w:r>
    </w:p>
    <w:p w14:paraId="070FC865">
      <w:pPr>
        <w:pStyle w:val="56"/>
        <w:ind w:firstLine="420"/>
        <w:rPr>
          <w:rFonts w:hint="eastAsia" w:hAnsi="宋体"/>
        </w:rPr>
      </w:pPr>
      <w:r>
        <w:rPr>
          <w:rFonts w:hint="eastAsia" w:hAnsi="宋体"/>
        </w:rPr>
        <w:t>GB 2721  食品安全国家标准 食用盐</w:t>
      </w:r>
    </w:p>
    <w:p w14:paraId="62C2DBE2">
      <w:pPr>
        <w:pStyle w:val="56"/>
        <w:ind w:firstLine="420"/>
        <w:rPr>
          <w:rFonts w:hint="default" w:hAnsi="宋体" w:eastAsia="宋体"/>
          <w:lang w:val="en-US" w:eastAsia="zh-CN"/>
        </w:rPr>
      </w:pPr>
      <w:r>
        <w:rPr>
          <w:rFonts w:hint="eastAsia" w:hAnsi="宋体"/>
          <w:lang w:val="en-US" w:eastAsia="zh-CN"/>
        </w:rPr>
        <w:t xml:space="preserve">GB 2726  </w:t>
      </w:r>
      <w:r>
        <w:rPr>
          <w:rFonts w:hint="eastAsia" w:hAnsi="宋体"/>
        </w:rPr>
        <w:t>食品安全国家标准</w:t>
      </w:r>
      <w:r>
        <w:rPr>
          <w:rFonts w:hint="eastAsia" w:hAnsi="宋体"/>
          <w:lang w:val="en-US" w:eastAsia="zh-CN"/>
        </w:rPr>
        <w:t xml:space="preserve"> 熟肉制品</w:t>
      </w:r>
    </w:p>
    <w:p w14:paraId="11F0DB7A">
      <w:pPr>
        <w:pStyle w:val="56"/>
        <w:ind w:firstLine="420"/>
      </w:pPr>
      <w:r>
        <w:rPr>
          <w:rFonts w:hint="eastAsia" w:hAnsi="宋体"/>
        </w:rPr>
        <w:t>GB 2760  食品安全国家标准 食品添加剂使用标准</w:t>
      </w:r>
    </w:p>
    <w:p w14:paraId="4B82912C">
      <w:pPr>
        <w:pStyle w:val="56"/>
        <w:ind w:firstLine="420"/>
      </w:pPr>
      <w:r>
        <w:rPr>
          <w:rFonts w:hint="eastAsia" w:hAnsi="宋体"/>
        </w:rPr>
        <w:t>GB 2762  食品安全国家标准</w:t>
      </w:r>
      <w:r>
        <w:rPr>
          <w:rFonts w:hint="eastAsia"/>
        </w:rPr>
        <w:t xml:space="preserve"> </w:t>
      </w:r>
      <w:r>
        <w:rPr>
          <w:rFonts w:hint="eastAsia" w:hAnsi="宋体"/>
        </w:rPr>
        <w:t>食品中污染物限量</w:t>
      </w:r>
    </w:p>
    <w:p w14:paraId="0A05E9F4">
      <w:pPr>
        <w:pStyle w:val="56"/>
        <w:ind w:firstLine="420"/>
        <w:rPr>
          <w:rFonts w:hint="eastAsia"/>
        </w:rPr>
      </w:pPr>
      <w:r>
        <w:rPr>
          <w:rFonts w:hint="eastAsia"/>
        </w:rPr>
        <w:t>GB 31654 食品安全国家标准 餐饮服务通用卫生规范</w:t>
      </w:r>
    </w:p>
    <w:p w14:paraId="5C7DF4A2">
      <w:pPr>
        <w:pStyle w:val="56"/>
        <w:ind w:firstLine="420"/>
      </w:pPr>
      <w:r>
        <w:rPr>
          <w:rFonts w:hint="eastAsia" w:hAnsi="宋体"/>
        </w:rPr>
        <w:t>GB 4806.7  食品安全国家标准 食品接触用塑料材料及制品</w:t>
      </w:r>
    </w:p>
    <w:p w14:paraId="126D96E7">
      <w:pPr>
        <w:pStyle w:val="56"/>
        <w:ind w:firstLine="420"/>
      </w:pPr>
      <w:r>
        <w:rPr>
          <w:rFonts w:hint="eastAsia" w:hAnsi="宋体"/>
        </w:rPr>
        <w:t>GB 4806.13  食品安全国家标准 食品接触用复合材料及制品</w:t>
      </w:r>
    </w:p>
    <w:p w14:paraId="53F406E4">
      <w:pPr>
        <w:pStyle w:val="56"/>
        <w:ind w:firstLine="420"/>
      </w:pPr>
      <w:r>
        <w:rPr>
          <w:rFonts w:hint="eastAsia" w:hAnsi="宋体"/>
        </w:rPr>
        <w:t>GB 5009.3  食品安全国家标准 食品中水分的测定</w:t>
      </w:r>
    </w:p>
    <w:p w14:paraId="588FE572">
      <w:pPr>
        <w:pStyle w:val="56"/>
        <w:ind w:firstLine="420"/>
      </w:pPr>
      <w:r>
        <w:rPr>
          <w:rFonts w:hint="eastAsia" w:hAnsi="宋体"/>
        </w:rPr>
        <w:t>GB 5009.5  食品安全国家标准 食品中蛋白质的测定</w:t>
      </w:r>
    </w:p>
    <w:p w14:paraId="16A64F59">
      <w:pPr>
        <w:pStyle w:val="56"/>
        <w:ind w:firstLine="420"/>
      </w:pPr>
      <w:r>
        <w:rPr>
          <w:rFonts w:hint="eastAsia" w:hAnsi="宋体"/>
        </w:rPr>
        <w:t>GB 5009.6  食品安全国家标准</w:t>
      </w:r>
      <w:r>
        <w:rPr>
          <w:rFonts w:hint="eastAsia"/>
        </w:rPr>
        <w:t xml:space="preserve"> </w:t>
      </w:r>
      <w:r>
        <w:rPr>
          <w:rFonts w:hint="eastAsia" w:hAnsi="宋体"/>
        </w:rPr>
        <w:t>食品中脂肪的测定</w:t>
      </w:r>
    </w:p>
    <w:p w14:paraId="46A7D7F4">
      <w:pPr>
        <w:pStyle w:val="56"/>
        <w:ind w:firstLine="420"/>
      </w:pPr>
      <w:r>
        <w:rPr>
          <w:rFonts w:hint="eastAsia"/>
        </w:rPr>
        <w:t>GB 5749 生活饮用水卫生标准</w:t>
      </w:r>
    </w:p>
    <w:p w14:paraId="78B0ADFF">
      <w:pPr>
        <w:pStyle w:val="56"/>
        <w:ind w:firstLine="420"/>
      </w:pPr>
      <w:r>
        <w:rPr>
          <w:rFonts w:hint="eastAsia"/>
        </w:rPr>
        <w:t>GB/T 9961 鲜、冻固体羊肉</w:t>
      </w:r>
    </w:p>
    <w:p w14:paraId="0F872FE5">
      <w:pPr>
        <w:pStyle w:val="56"/>
        <w:ind w:firstLine="420"/>
      </w:pPr>
      <w:r>
        <w:t>GB/T 9695.19</w:t>
      </w:r>
      <w:r>
        <w:rPr>
          <w:rFonts w:hint="eastAsia"/>
        </w:rPr>
        <w:t xml:space="preserve"> 肉与肉制品  取样方法</w:t>
      </w:r>
    </w:p>
    <w:p w14:paraId="28E790AC">
      <w:pPr>
        <w:pStyle w:val="56"/>
        <w:ind w:firstLine="420"/>
      </w:pPr>
      <w:r>
        <w:rPr>
          <w:rFonts w:hint="eastAsia"/>
        </w:rPr>
        <w:t>NY/T 493 胡萝卜</w:t>
      </w:r>
    </w:p>
    <w:p w14:paraId="6EAA58C3">
      <w:pPr>
        <w:pStyle w:val="56"/>
        <w:ind w:firstLine="420"/>
      </w:pPr>
      <w:r>
        <w:rPr>
          <w:rFonts w:hint="eastAsia"/>
        </w:rPr>
        <w:t>NY/T 1071 洋葱</w:t>
      </w:r>
    </w:p>
    <w:p w14:paraId="15849185">
      <w:pPr>
        <w:pStyle w:val="56"/>
        <w:ind w:firstLine="420"/>
      </w:pPr>
      <w:r>
        <w:rPr>
          <w:rFonts w:hint="eastAsia"/>
        </w:rPr>
        <w:t>LY/T 1652 花椒质量等级</w:t>
      </w:r>
    </w:p>
    <w:p w14:paraId="3268BA55">
      <w:pPr>
        <w:pStyle w:val="104"/>
        <w:spacing w:before="312" w:after="312"/>
      </w:pPr>
      <w:r>
        <w:rPr>
          <w:rFonts w:hint="eastAsia"/>
          <w:szCs w:val="21"/>
        </w:rPr>
        <w:t>术语和定义</w:t>
      </w:r>
    </w:p>
    <w:sdt>
      <w:sdtPr>
        <w:rPr>
          <w:rFonts w:hint="default"/>
          <w:lang w:val="en-US"/>
        </w:rPr>
        <w:id w:val="-1909835108"/>
        <w:placeholder>
          <w:docPart w:val="68769C5F32A242EA8B2F7368D86450D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lang w:val="en-US"/>
        </w:rPr>
      </w:sdtEndPr>
      <w:sdtContent>
        <w:p w14:paraId="1EEDF67B">
          <w:pPr>
            <w:pStyle w:val="56"/>
            <w:ind w:firstLine="420"/>
            <w:rPr>
              <w:rFonts w:hint="default"/>
              <w:lang w:val="en-US"/>
            </w:rPr>
          </w:pPr>
          <w:bookmarkStart w:id="33" w:name="_Toc26986532"/>
          <w:bookmarkEnd w:id="33"/>
          <w:r>
            <w:rPr>
              <w:rFonts w:hint="eastAsia"/>
              <w:lang w:val="en-US" w:eastAsia="zh-CN"/>
            </w:rPr>
            <w:t>下列</w:t>
          </w:r>
          <w:r>
            <w:t>术语和定义</w:t>
          </w:r>
          <w:r>
            <w:rPr>
              <w:rFonts w:hint="eastAsia"/>
              <w:lang w:val="en-US" w:eastAsia="zh-CN"/>
            </w:rPr>
            <w:t>适用于本文件</w:t>
          </w:r>
          <w:r>
            <w:t>。</w:t>
          </w:r>
        </w:p>
      </w:sdtContent>
    </w:sdt>
    <w:p w14:paraId="5AACC32D">
      <w:pPr>
        <w:pStyle w:val="105"/>
        <w:bidi w:val="0"/>
        <w:rPr>
          <w:rFonts w:hint="default"/>
          <w:lang w:val="en-US"/>
        </w:rPr>
      </w:pPr>
    </w:p>
    <w:p w14:paraId="0474B844">
      <w:pPr>
        <w:pStyle w:val="56"/>
        <w:rPr>
          <w:rFonts w:hint="eastAsia" w:ascii="黑体" w:hAnsi="黑体" w:eastAsia="黑体" w:cs="黑体"/>
          <w:lang w:val="en-US" w:eastAsia="zh-CN"/>
        </w:rPr>
      </w:pPr>
      <w:r>
        <w:rPr>
          <w:rFonts w:hint="eastAsia" w:ascii="黑体" w:hAnsi="黑体" w:eastAsia="黑体" w:cs="黑体"/>
          <w:lang w:val="en-US" w:eastAsia="zh-CN"/>
        </w:rPr>
        <w:t>烤</w:t>
      </w:r>
    </w:p>
    <w:p w14:paraId="5694D751">
      <w:pPr>
        <w:pStyle w:val="56"/>
        <w:rPr>
          <w:rFonts w:hint="eastAsia"/>
          <w:lang w:val="en-US" w:eastAsia="zh-CN"/>
        </w:rPr>
      </w:pPr>
      <w:r>
        <w:rPr>
          <w:rFonts w:hint="eastAsia"/>
          <w:lang w:val="en-US" w:eastAsia="zh-CN"/>
        </w:rPr>
        <w:t>将初加工好的原料，用木炭、电烤箱等发热源产生的干热空气加热制熟的烹调方法。</w:t>
      </w:r>
    </w:p>
    <w:p w14:paraId="28825E97">
      <w:pPr>
        <w:pStyle w:val="56"/>
        <w:bidi w:val="0"/>
        <w:rPr>
          <w:rFonts w:hint="default"/>
          <w:lang w:val="en-US" w:eastAsia="zh-CN"/>
        </w:rPr>
      </w:pPr>
      <w:r>
        <w:rPr>
          <w:rFonts w:hint="eastAsia"/>
          <w:lang w:val="en-US" w:eastAsia="zh-CN"/>
        </w:rPr>
        <w:t>[来源：DB15/T 527—2012,5.1]</w:t>
      </w:r>
    </w:p>
    <w:p w14:paraId="3CEFB56A">
      <w:pPr>
        <w:pStyle w:val="105"/>
        <w:bidi w:val="0"/>
        <w:rPr>
          <w:rFonts w:hint="default"/>
          <w:lang w:val="en-US" w:eastAsia="zh-CN"/>
        </w:rPr>
      </w:pPr>
    </w:p>
    <w:p w14:paraId="082550F2">
      <w:pPr>
        <w:pStyle w:val="56"/>
        <w:rPr>
          <w:rFonts w:hint="eastAsia"/>
          <w:lang w:val="en-US" w:eastAsia="zh-CN"/>
        </w:rPr>
      </w:pPr>
      <w:r>
        <w:rPr>
          <w:rFonts w:hint="eastAsia" w:ascii="黑体" w:hAnsi="黑体" w:eastAsia="黑体" w:cs="黑体"/>
          <w:lang w:val="en-US" w:eastAsia="zh-CN"/>
        </w:rPr>
        <w:t>十字花刀</w:t>
      </w:r>
    </w:p>
    <w:p w14:paraId="0A50538B">
      <w:pPr>
        <w:pStyle w:val="56"/>
        <w:rPr>
          <w:rFonts w:hint="eastAsia"/>
          <w:lang w:val="en-US" w:eastAsia="zh-CN"/>
        </w:rPr>
      </w:pPr>
      <w:r>
        <w:rPr>
          <w:rFonts w:hint="eastAsia"/>
          <w:lang w:val="en-US" w:eastAsia="zh-CN"/>
        </w:rPr>
        <w:t>花刀的一种，在加工好的原料上划上交叉的十字直刀的刀法。</w:t>
      </w:r>
    </w:p>
    <w:p w14:paraId="18FA0CF6">
      <w:pPr>
        <w:pStyle w:val="56"/>
        <w:bidi w:val="0"/>
        <w:rPr>
          <w:rFonts w:hint="default"/>
          <w:lang w:val="en-US" w:eastAsia="zh-CN"/>
        </w:rPr>
      </w:pPr>
      <w:r>
        <w:rPr>
          <w:rFonts w:hint="eastAsia"/>
          <w:lang w:val="en-US" w:eastAsia="zh-CN"/>
        </w:rPr>
        <w:t>[来源：DB15/T 527—2012,6.1.1]</w:t>
      </w:r>
    </w:p>
    <w:p w14:paraId="02A45D51">
      <w:pPr>
        <w:pStyle w:val="105"/>
        <w:bidi w:val="0"/>
        <w:rPr>
          <w:rFonts w:hint="default"/>
          <w:lang w:val="en-US" w:eastAsia="zh-CN"/>
        </w:rPr>
      </w:pPr>
    </w:p>
    <w:p w14:paraId="71AA13F0">
      <w:pPr>
        <w:pStyle w:val="56"/>
        <w:rPr>
          <w:rFonts w:hint="eastAsia" w:ascii="黑体" w:hAnsi="黑体" w:eastAsia="黑体" w:cs="黑体"/>
          <w:lang w:val="en-US" w:eastAsia="zh-CN"/>
        </w:rPr>
      </w:pPr>
      <w:r>
        <w:rPr>
          <w:rFonts w:hint="eastAsia" w:ascii="黑体" w:hAnsi="黑体" w:eastAsia="黑体" w:cs="黑体"/>
          <w:lang w:val="en-US" w:eastAsia="zh-CN"/>
        </w:rPr>
        <w:t>腌制</w:t>
      </w:r>
    </w:p>
    <w:p w14:paraId="5822EDF1">
      <w:pPr>
        <w:pStyle w:val="56"/>
        <w:rPr>
          <w:rFonts w:hint="eastAsia"/>
          <w:lang w:val="en-US" w:eastAsia="zh-CN"/>
        </w:rPr>
      </w:pPr>
      <w:r>
        <w:rPr>
          <w:rFonts w:hint="eastAsia"/>
          <w:lang w:val="en-US" w:eastAsia="zh-CN"/>
        </w:rPr>
        <w:t>将初加工好的烹饪原料放入器皿中加入所需的调味品浸泡一定时间的加工过程。</w:t>
      </w:r>
    </w:p>
    <w:p w14:paraId="1E52F29D">
      <w:pPr>
        <w:pStyle w:val="56"/>
        <w:bidi w:val="0"/>
        <w:rPr>
          <w:rFonts w:hint="default"/>
          <w:lang w:val="en-US" w:eastAsia="zh-CN"/>
        </w:rPr>
      </w:pPr>
      <w:r>
        <w:rPr>
          <w:rFonts w:hint="eastAsia"/>
          <w:lang w:val="en-US" w:eastAsia="zh-CN"/>
        </w:rPr>
        <w:t>[来源：DB15/T 527—2012,6.2]</w:t>
      </w:r>
    </w:p>
    <w:p w14:paraId="03D12FD0">
      <w:pPr>
        <w:pStyle w:val="104"/>
        <w:spacing w:before="312" w:after="312"/>
      </w:pPr>
      <w:r>
        <w:t>认证要求</w:t>
      </w:r>
    </w:p>
    <w:p w14:paraId="14E18D04">
      <w:pPr>
        <w:pStyle w:val="105"/>
        <w:spacing w:before="156" w:after="156"/>
      </w:pPr>
      <w:r>
        <w:rPr>
          <w:rFonts w:hint="eastAsia"/>
        </w:rPr>
        <w:t>餐饮</w:t>
      </w:r>
      <w:r>
        <w:rPr>
          <w:rFonts w:hint="eastAsia"/>
          <w:lang w:val="en-US" w:eastAsia="zh-CN"/>
        </w:rPr>
        <w:t>及食品生产</w:t>
      </w:r>
      <w:r>
        <w:rPr>
          <w:rFonts w:hint="eastAsia"/>
        </w:rPr>
        <w:t>通用卫生要求</w:t>
      </w:r>
    </w:p>
    <w:p w14:paraId="3D6B884F">
      <w:pPr>
        <w:pStyle w:val="65"/>
        <w:bidi w:val="0"/>
        <w:rPr>
          <w:rFonts w:hint="eastAsia" w:ascii="宋体" w:hAnsi="宋体" w:eastAsia="宋体" w:cs="宋体"/>
        </w:rPr>
      </w:pPr>
      <w:r>
        <w:rPr>
          <w:rFonts w:hint="eastAsia" w:ascii="宋体" w:hAnsi="宋体" w:eastAsia="宋体" w:cs="宋体"/>
        </w:rPr>
        <w:t>经营场所、</w:t>
      </w:r>
      <w:r>
        <w:rPr>
          <w:rFonts w:hint="eastAsia" w:ascii="宋体" w:hAnsi="宋体" w:eastAsia="宋体" w:cs="宋体"/>
          <w:color w:val="0F1115"/>
          <w:shd w:val="clear" w:color="auto" w:fill="FFFFFF"/>
        </w:rPr>
        <w:t>设备、卫生等</w:t>
      </w:r>
      <w:r>
        <w:rPr>
          <w:rFonts w:hint="eastAsia" w:ascii="宋体" w:hAnsi="宋体" w:eastAsia="宋体" w:cs="宋体"/>
        </w:rPr>
        <w:t>应符合GB 31654的规定执行。</w:t>
      </w:r>
    </w:p>
    <w:p w14:paraId="16AB0292">
      <w:pPr>
        <w:pStyle w:val="65"/>
        <w:bidi w:val="0"/>
        <w:rPr>
          <w:rFonts w:hint="eastAsia" w:ascii="宋体" w:hAnsi="宋体" w:eastAsia="宋体" w:cs="宋体"/>
          <w:lang w:val="en-US" w:eastAsia="zh-CN"/>
        </w:rPr>
      </w:pPr>
      <w:r>
        <w:rPr>
          <w:rFonts w:hint="eastAsia" w:ascii="宋体" w:hAnsi="宋体" w:eastAsia="宋体" w:cs="宋体"/>
          <w:lang w:val="en-US" w:eastAsia="zh-CN"/>
        </w:rPr>
        <w:t>生产车间、设备、卫生等应符合GB 14881的规定执行。</w:t>
      </w:r>
    </w:p>
    <w:p w14:paraId="42FD8C81">
      <w:pPr>
        <w:pStyle w:val="105"/>
        <w:spacing w:before="156" w:after="156"/>
      </w:pPr>
      <w:r>
        <w:t>原辅料要求</w:t>
      </w:r>
    </w:p>
    <w:p w14:paraId="76807ABB">
      <w:pPr>
        <w:pStyle w:val="65"/>
        <w:spacing w:before="156" w:after="156"/>
      </w:pPr>
      <w:r>
        <w:t>原料要求</w:t>
      </w:r>
    </w:p>
    <w:p w14:paraId="71AD25D0">
      <w:pPr>
        <w:pStyle w:val="56"/>
        <w:ind w:firstLine="420"/>
      </w:pPr>
      <w:r>
        <w:rPr>
          <w:rFonts w:hint="eastAsia"/>
        </w:rPr>
        <w:t>羊腿应选用内蒙古行政区域内“蒙”字标认证的羊腿，</w:t>
      </w:r>
      <w:r>
        <w:rPr>
          <w:rFonts w:hint="eastAsia"/>
          <w:lang w:val="en-US" w:eastAsia="zh-CN"/>
        </w:rPr>
        <w:t>应</w:t>
      </w:r>
      <w:r>
        <w:rPr>
          <w:rFonts w:hint="eastAsia"/>
        </w:rPr>
        <w:t>符合GB 2707和GB/T 9961</w:t>
      </w:r>
      <w:r>
        <w:rPr>
          <w:rFonts w:hint="eastAsia"/>
          <w:lang w:val="en-US" w:eastAsia="zh-CN"/>
        </w:rPr>
        <w:t>的规定执行</w:t>
      </w:r>
      <w:r>
        <w:rPr>
          <w:rFonts w:hint="eastAsia"/>
        </w:rPr>
        <w:t>。</w:t>
      </w:r>
    </w:p>
    <w:p w14:paraId="2317B813">
      <w:pPr>
        <w:pStyle w:val="65"/>
        <w:spacing w:before="156" w:after="156"/>
      </w:pPr>
      <w:r>
        <w:t>辅料</w:t>
      </w:r>
    </w:p>
    <w:p w14:paraId="14811AC5">
      <w:pPr>
        <w:pStyle w:val="94"/>
        <w:bidi w:val="0"/>
        <w:rPr>
          <w:rFonts w:hint="eastAsia" w:ascii="宋体" w:hAnsi="宋体" w:eastAsia="宋体" w:cs="宋体"/>
        </w:rPr>
      </w:pPr>
      <w:r>
        <w:rPr>
          <w:rFonts w:hint="eastAsia" w:ascii="宋体" w:hAnsi="宋体" w:eastAsia="宋体" w:cs="宋体"/>
        </w:rPr>
        <w:t>蔬菜配料（沙葱、胡萝卜、洋葱、芹菜）应符合NY/T 493、NY/T 1071、NY 5001、食品安全标准中的规定</w:t>
      </w:r>
      <w:r>
        <w:rPr>
          <w:rFonts w:hint="eastAsia" w:ascii="宋体" w:hAnsi="宋体" w:eastAsia="宋体" w:cs="宋体"/>
          <w:lang w:val="en-US" w:eastAsia="zh-CN"/>
        </w:rPr>
        <w:t>执行</w:t>
      </w:r>
      <w:r>
        <w:rPr>
          <w:rFonts w:hint="eastAsia" w:ascii="宋体" w:hAnsi="宋体" w:eastAsia="宋体" w:cs="宋体"/>
        </w:rPr>
        <w:t>。</w:t>
      </w:r>
    </w:p>
    <w:p w14:paraId="1003097A">
      <w:pPr>
        <w:pStyle w:val="94"/>
        <w:bidi w:val="0"/>
        <w:rPr>
          <w:rFonts w:hint="eastAsia" w:ascii="宋体" w:hAnsi="宋体" w:eastAsia="宋体" w:cs="宋体"/>
        </w:rPr>
      </w:pPr>
      <w:r>
        <w:rPr>
          <w:rFonts w:hint="eastAsia" w:ascii="宋体" w:hAnsi="宋体" w:eastAsia="宋体" w:cs="宋体"/>
        </w:rPr>
        <w:t>调味料（食用盐、姜、葱、椒盐面（花椒）、饴糖）应符合GB 2721、GB/T</w:t>
      </w:r>
      <w:r>
        <w:rPr>
          <w:rFonts w:hint="eastAsia" w:ascii="宋体" w:hAnsi="宋体" w:eastAsia="宋体" w:cs="宋体"/>
          <w:lang w:val="en-US" w:eastAsia="zh-CN"/>
        </w:rPr>
        <w:t xml:space="preserve"> </w:t>
      </w:r>
      <w:r>
        <w:rPr>
          <w:rFonts w:hint="eastAsia" w:ascii="宋体" w:hAnsi="宋体" w:eastAsia="宋体" w:cs="宋体"/>
        </w:rPr>
        <w:t>15691、LY/T</w:t>
      </w:r>
      <w:r>
        <w:rPr>
          <w:rFonts w:hint="eastAsia" w:ascii="宋体" w:hAnsi="宋体" w:eastAsia="宋体" w:cs="宋体"/>
          <w:lang w:val="en-US" w:eastAsia="zh-CN"/>
        </w:rPr>
        <w:t xml:space="preserve"> </w:t>
      </w:r>
      <w:r>
        <w:rPr>
          <w:rFonts w:hint="eastAsia" w:ascii="宋体" w:hAnsi="宋体" w:eastAsia="宋体" w:cs="宋体"/>
        </w:rPr>
        <w:t>1652、GB/T</w:t>
      </w:r>
      <w:r>
        <w:rPr>
          <w:rFonts w:hint="eastAsia" w:ascii="宋体" w:hAnsi="宋体" w:eastAsia="宋体" w:cs="宋体"/>
          <w:lang w:val="en-US" w:eastAsia="zh-CN"/>
        </w:rPr>
        <w:t xml:space="preserve"> </w:t>
      </w:r>
      <w:r>
        <w:rPr>
          <w:rFonts w:hint="eastAsia" w:ascii="宋体" w:hAnsi="宋体" w:eastAsia="宋体" w:cs="宋体"/>
        </w:rPr>
        <w:t>20883国家标准或行业标准中的规定</w:t>
      </w:r>
      <w:r>
        <w:rPr>
          <w:rFonts w:hint="eastAsia" w:ascii="宋体" w:hAnsi="宋体" w:eastAsia="宋体" w:cs="宋体"/>
          <w:lang w:val="en-US" w:eastAsia="zh-CN"/>
        </w:rPr>
        <w:t>执行</w:t>
      </w:r>
      <w:r>
        <w:rPr>
          <w:rFonts w:hint="eastAsia" w:ascii="宋体" w:hAnsi="宋体" w:eastAsia="宋体" w:cs="宋体"/>
        </w:rPr>
        <w:t>。</w:t>
      </w:r>
    </w:p>
    <w:p w14:paraId="749188AB">
      <w:pPr>
        <w:pStyle w:val="105"/>
        <w:spacing w:before="156" w:after="156"/>
      </w:pPr>
      <w:r>
        <w:t>生产加工过程要求</w:t>
      </w:r>
    </w:p>
    <w:p w14:paraId="2F6C6893">
      <w:pPr>
        <w:pStyle w:val="65"/>
        <w:spacing w:before="156" w:after="156"/>
      </w:pPr>
      <w:r>
        <w:rPr>
          <w:rFonts w:hint="eastAsia"/>
          <w:lang w:val="en-US" w:eastAsia="zh-CN"/>
        </w:rPr>
        <w:t>餐饮加工</w:t>
      </w:r>
      <w:r>
        <w:t>工艺</w:t>
      </w:r>
    </w:p>
    <w:p w14:paraId="3F2A1D07">
      <w:pPr>
        <w:pStyle w:val="56"/>
        <w:rPr>
          <w:rFonts w:hint="eastAsia"/>
          <w:lang w:val="en-US" w:eastAsia="zh-CN"/>
        </w:rPr>
      </w:pPr>
      <w:r>
        <w:rPr>
          <w:rFonts w:hint="eastAsia"/>
          <w:lang w:val="en-US" w:eastAsia="zh-CN"/>
        </w:rPr>
        <w:t>餐饮加工工艺流程图见图1。</w:t>
      </w:r>
    </w:p>
    <w:p w14:paraId="4EA9AAF5">
      <w:pPr>
        <w:pStyle w:val="56"/>
        <w:rPr>
          <w:rFonts w:hint="default"/>
          <w:lang w:val="en-US" w:eastAsia="zh-CN"/>
        </w:rPr>
      </w:pPr>
    </w:p>
    <w:p w14:paraId="04C33B0F">
      <w:pPr>
        <w:pStyle w:val="56"/>
        <w:ind w:firstLine="420"/>
        <w:jc w:val="center"/>
        <w:rPr>
          <w:rFonts w:hint="eastAsia" w:ascii="宋体" w:hAnsi="宋体" w:eastAsia="宋体" w:cs="宋体"/>
          <w:sz w:val="15"/>
          <w:szCs w:val="15"/>
        </w:rPr>
      </w:pPr>
      <w:r>
        <w:rPr>
          <w:rFonts w:hint="eastAsia" w:ascii="宋体" w:hAnsi="宋体" w:eastAsia="宋体" w:cs="宋体"/>
          <w:sz w:val="15"/>
          <w:szCs w:val="15"/>
        </w:rPr>
        <w:t>原料→预加工→配料→腌制→烤</w:t>
      </w:r>
      <w:r>
        <w:rPr>
          <w:rFonts w:hint="eastAsia" w:ascii="宋体" w:hAnsi="宋体" w:eastAsia="宋体" w:cs="宋体"/>
          <w:sz w:val="15"/>
          <w:szCs w:val="15"/>
          <w:lang w:val="en-US" w:eastAsia="zh-CN"/>
        </w:rPr>
        <w:t>制</w:t>
      </w:r>
      <w:r>
        <w:rPr>
          <w:rFonts w:hint="eastAsia" w:ascii="宋体" w:hAnsi="宋体" w:eastAsia="宋体" w:cs="宋体"/>
          <w:sz w:val="15"/>
          <w:szCs w:val="15"/>
        </w:rPr>
        <w:t>（果木、电烤箱）。</w:t>
      </w:r>
    </w:p>
    <w:p w14:paraId="21F0D803">
      <w:pPr>
        <w:pStyle w:val="114"/>
        <w:bidi w:val="0"/>
        <w:rPr>
          <w:rFonts w:hint="eastAsia"/>
        </w:rPr>
      </w:pPr>
      <w:r>
        <w:rPr>
          <w:rFonts w:hint="eastAsia"/>
          <w:lang w:val="en-US" w:eastAsia="zh-CN"/>
        </w:rPr>
        <w:t>餐饮加工工艺</w:t>
      </w:r>
    </w:p>
    <w:p w14:paraId="26AC18AD">
      <w:pPr>
        <w:pStyle w:val="65"/>
        <w:spacing w:before="156" w:after="156"/>
        <w:rPr>
          <w:rFonts w:hint="eastAsia" w:ascii="黑体" w:hAnsi="黑体" w:eastAsia="黑体" w:cs="黑体"/>
          <w:lang w:val="en-US" w:eastAsia="zh-CN"/>
        </w:rPr>
      </w:pPr>
      <w:r>
        <w:rPr>
          <w:rFonts w:hint="eastAsia"/>
          <w:lang w:val="en-US" w:eastAsia="zh-CN"/>
        </w:rPr>
        <w:t>预包装生产加工</w:t>
      </w:r>
      <w:r>
        <w:t>工艺</w:t>
      </w:r>
    </w:p>
    <w:p w14:paraId="05577CE3">
      <w:pPr>
        <w:pStyle w:val="56"/>
        <w:rPr>
          <w:rFonts w:hint="default"/>
          <w:lang w:val="en-US" w:eastAsia="zh-CN"/>
        </w:rPr>
      </w:pPr>
      <w:r>
        <w:rPr>
          <w:rFonts w:hint="eastAsia"/>
          <w:lang w:val="en-US" w:eastAsia="zh-CN"/>
        </w:rPr>
        <w:t>预包装生产加工工艺见图2。</w:t>
      </w:r>
    </w:p>
    <w:p w14:paraId="158F16A0">
      <w:pPr>
        <w:pStyle w:val="56"/>
        <w:jc w:val="center"/>
        <w:rPr>
          <w:rFonts w:hint="eastAsia" w:ascii="宋体" w:hAnsi="宋体" w:eastAsia="宋体" w:cs="宋体"/>
          <w:sz w:val="15"/>
          <w:szCs w:val="15"/>
        </w:rPr>
      </w:pPr>
      <w:r>
        <w:rPr>
          <w:rFonts w:hint="eastAsia" w:ascii="宋体" w:hAnsi="宋体" w:eastAsia="宋体" w:cs="宋体"/>
          <w:sz w:val="15"/>
          <w:szCs w:val="15"/>
        </w:rPr>
        <w:t>原料→预加工→配料→腌制→烤</w:t>
      </w:r>
      <w:r>
        <w:rPr>
          <w:rFonts w:hint="eastAsia" w:ascii="宋体" w:hAnsi="宋体" w:eastAsia="宋体" w:cs="宋体"/>
          <w:sz w:val="15"/>
          <w:szCs w:val="15"/>
          <w:lang w:val="en-US" w:eastAsia="zh-CN"/>
        </w:rPr>
        <w:t>制</w:t>
      </w:r>
      <w:r>
        <w:rPr>
          <w:rFonts w:hint="eastAsia" w:ascii="宋体" w:hAnsi="宋体" w:eastAsia="宋体" w:cs="宋体"/>
          <w:sz w:val="15"/>
          <w:szCs w:val="15"/>
        </w:rPr>
        <w:t>（果木、电烤箱）→冷却→真空包装→灭菌→检验。</w:t>
      </w:r>
    </w:p>
    <w:p w14:paraId="5B36B124">
      <w:pPr>
        <w:pStyle w:val="114"/>
        <w:bidi w:val="0"/>
        <w:rPr>
          <w:rFonts w:hint="eastAsia"/>
          <w:lang w:val="en-US" w:eastAsia="zh-CN"/>
        </w:rPr>
      </w:pPr>
    </w:p>
    <w:p w14:paraId="6047A89A">
      <w:pPr>
        <w:pStyle w:val="65"/>
        <w:numPr>
          <w:ilvl w:val="3"/>
          <w:numId w:val="0"/>
        </w:numPr>
        <w:spacing w:before="156" w:after="156"/>
        <w:ind w:leftChars="0"/>
      </w:pPr>
      <w:r>
        <w:rPr>
          <w:rFonts w:hint="eastAsia"/>
          <w:lang w:val="en-US" w:eastAsia="zh-CN"/>
        </w:rPr>
        <w:t xml:space="preserve">4.3.3  </w:t>
      </w:r>
      <w:r>
        <w:t>加工过程卫生要求</w:t>
      </w:r>
    </w:p>
    <w:p w14:paraId="7DCBC3F9">
      <w:pPr>
        <w:pStyle w:val="56"/>
        <w:ind w:firstLine="420"/>
      </w:pPr>
      <w:r>
        <w:rPr>
          <w:rFonts w:hint="eastAsia"/>
        </w:rPr>
        <w:t>应符合</w:t>
      </w:r>
      <w:r>
        <w:t>GB 31654、</w:t>
      </w:r>
      <w:r>
        <w:rPr>
          <w:rFonts w:hint="eastAsia"/>
        </w:rPr>
        <w:t>GB 19303的规定。</w:t>
      </w:r>
    </w:p>
    <w:p w14:paraId="3F3A8A77">
      <w:pPr>
        <w:pStyle w:val="105"/>
        <w:spacing w:before="156" w:after="156"/>
      </w:pPr>
      <w:r>
        <w:rPr>
          <w:rFonts w:hint="eastAsia"/>
        </w:rPr>
        <w:t>质量要求</w:t>
      </w:r>
    </w:p>
    <w:p w14:paraId="708B38B5">
      <w:pPr>
        <w:pStyle w:val="65"/>
        <w:spacing w:before="156" w:after="156"/>
      </w:pPr>
      <w:r>
        <w:t>感官要求</w:t>
      </w:r>
    </w:p>
    <w:p w14:paraId="42559A03">
      <w:pPr>
        <w:pStyle w:val="56"/>
        <w:ind w:firstLine="420"/>
      </w:pPr>
      <w:r>
        <w:t>应符合</w:t>
      </w:r>
      <w:r>
        <w:rPr>
          <w:rFonts w:hint="eastAsia"/>
        </w:rPr>
        <w:t>GB 2726及表1的规定。</w:t>
      </w:r>
    </w:p>
    <w:p w14:paraId="784E8DFE">
      <w:pPr>
        <w:pStyle w:val="112"/>
        <w:spacing w:before="156" w:after="156"/>
      </w:pPr>
      <w:r>
        <w:rPr>
          <w:rFonts w:hint="eastAsia"/>
        </w:rPr>
        <w:t>感官要求</w:t>
      </w:r>
    </w:p>
    <w:tbl>
      <w:tblPr>
        <w:tblStyle w:val="27"/>
        <w:tblW w:w="93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734"/>
        <w:gridCol w:w="5070"/>
        <w:gridCol w:w="2570"/>
      </w:tblGrid>
      <w:tr w14:paraId="45897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734" w:type="dxa"/>
            <w:tcBorders>
              <w:top w:val="single" w:color="auto" w:sz="12" w:space="0"/>
              <w:left w:val="single" w:color="auto" w:sz="12" w:space="0"/>
              <w:bottom w:val="single" w:color="auto" w:sz="12" w:space="0"/>
              <w:right w:val="single" w:color="auto" w:sz="6" w:space="0"/>
            </w:tcBorders>
            <w:vAlign w:val="center"/>
          </w:tcPr>
          <w:p w14:paraId="27EA32E2">
            <w:pPr>
              <w:pStyle w:val="178"/>
            </w:pPr>
            <w:r>
              <w:rPr>
                <w:rFonts w:hint="eastAsia" w:hAnsi="宋体"/>
              </w:rPr>
              <w:t>项目</w:t>
            </w:r>
          </w:p>
        </w:tc>
        <w:tc>
          <w:tcPr>
            <w:tcW w:w="5070" w:type="dxa"/>
            <w:tcBorders>
              <w:top w:val="single" w:color="auto" w:sz="12" w:space="0"/>
              <w:left w:val="single" w:color="auto" w:sz="6" w:space="0"/>
              <w:bottom w:val="single" w:color="auto" w:sz="12" w:space="0"/>
              <w:right w:val="single" w:color="auto" w:sz="6" w:space="0"/>
            </w:tcBorders>
            <w:vAlign w:val="center"/>
          </w:tcPr>
          <w:p w14:paraId="0AC47E5A">
            <w:pPr>
              <w:pStyle w:val="178"/>
            </w:pPr>
            <w:r>
              <w:rPr>
                <w:rFonts w:hint="eastAsia" w:hAnsi="宋体"/>
              </w:rPr>
              <w:t>要求</w:t>
            </w:r>
          </w:p>
        </w:tc>
        <w:tc>
          <w:tcPr>
            <w:tcW w:w="2570" w:type="dxa"/>
            <w:tcBorders>
              <w:top w:val="single" w:color="auto" w:sz="12" w:space="0"/>
              <w:left w:val="single" w:color="auto" w:sz="6" w:space="0"/>
              <w:bottom w:val="single" w:color="auto" w:sz="12" w:space="0"/>
              <w:right w:val="single" w:color="auto" w:sz="12" w:space="0"/>
            </w:tcBorders>
            <w:vAlign w:val="center"/>
          </w:tcPr>
          <w:p w14:paraId="63DAE1A8">
            <w:pPr>
              <w:pStyle w:val="178"/>
            </w:pPr>
            <w:r>
              <w:rPr>
                <w:rFonts w:hint="eastAsia" w:hAnsi="宋体"/>
              </w:rPr>
              <w:t>检测方法</w:t>
            </w:r>
          </w:p>
        </w:tc>
      </w:tr>
      <w:tr w14:paraId="3AF0C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734" w:type="dxa"/>
            <w:tcBorders>
              <w:top w:val="single" w:color="auto" w:sz="12" w:space="0"/>
              <w:left w:val="single" w:color="auto" w:sz="12" w:space="0"/>
              <w:bottom w:val="single" w:color="auto" w:sz="6" w:space="0"/>
              <w:right w:val="single" w:color="auto" w:sz="6" w:space="0"/>
            </w:tcBorders>
            <w:vAlign w:val="center"/>
          </w:tcPr>
          <w:p w14:paraId="4DACDAC6">
            <w:pPr>
              <w:pStyle w:val="178"/>
            </w:pPr>
            <w:r>
              <w:rPr>
                <w:rFonts w:hint="eastAsia" w:hAnsi="宋体"/>
              </w:rPr>
              <w:t>色泽</w:t>
            </w:r>
          </w:p>
        </w:tc>
        <w:tc>
          <w:tcPr>
            <w:tcW w:w="5070" w:type="dxa"/>
            <w:tcBorders>
              <w:top w:val="single" w:color="auto" w:sz="12" w:space="0"/>
              <w:left w:val="single" w:color="auto" w:sz="6" w:space="0"/>
              <w:bottom w:val="single" w:color="auto" w:sz="6" w:space="0"/>
              <w:right w:val="single" w:color="auto" w:sz="6" w:space="0"/>
            </w:tcBorders>
            <w:vAlign w:val="center"/>
          </w:tcPr>
          <w:p w14:paraId="7F98078B">
            <w:pPr>
              <w:pStyle w:val="178"/>
              <w:jc w:val="both"/>
              <w:rPr>
                <w:rFonts w:hint="default" w:eastAsia="宋体"/>
                <w:lang w:val="en-US" w:eastAsia="zh-CN"/>
              </w:rPr>
            </w:pPr>
            <w:r>
              <w:rPr>
                <w:rFonts w:hint="eastAsia" w:hAnsi="宋体"/>
                <w:lang w:val="en-US" w:eastAsia="zh-CN"/>
              </w:rPr>
              <w:t>淡枣红</w:t>
            </w:r>
          </w:p>
        </w:tc>
        <w:tc>
          <w:tcPr>
            <w:tcW w:w="2570" w:type="dxa"/>
            <w:vMerge w:val="restart"/>
            <w:tcBorders>
              <w:top w:val="nil"/>
              <w:left w:val="single" w:color="auto" w:sz="6" w:space="0"/>
              <w:bottom w:val="single" w:color="auto" w:sz="6" w:space="0"/>
              <w:right w:val="single" w:color="auto" w:sz="12" w:space="0"/>
            </w:tcBorders>
            <w:vAlign w:val="center"/>
          </w:tcPr>
          <w:p w14:paraId="177DD5A1">
            <w:pPr>
              <w:pStyle w:val="178"/>
              <w:jc w:val="both"/>
            </w:pPr>
            <w:r>
              <w:rPr>
                <w:rFonts w:hint="eastAsia" w:hAnsi="宋体"/>
              </w:rPr>
              <w:t>检测方法应按照GB</w:t>
            </w:r>
            <w:r>
              <w:rPr>
                <w:rFonts w:hint="eastAsia" w:hAnsi="宋体"/>
                <w:lang w:val="en-US" w:eastAsia="zh-CN"/>
              </w:rPr>
              <w:t>/T</w:t>
            </w:r>
            <w:r>
              <w:rPr>
                <w:rFonts w:hint="eastAsia" w:hAnsi="宋体"/>
              </w:rPr>
              <w:t xml:space="preserve"> </w:t>
            </w:r>
            <w:r>
              <w:rPr>
                <w:rFonts w:hint="eastAsia" w:hAnsi="宋体"/>
                <w:lang w:val="en-US" w:eastAsia="zh-CN"/>
              </w:rPr>
              <w:t>22210</w:t>
            </w:r>
            <w:r>
              <w:rPr>
                <w:rFonts w:hint="eastAsia" w:hAnsi="宋体"/>
              </w:rPr>
              <w:t>要求。</w:t>
            </w:r>
          </w:p>
        </w:tc>
      </w:tr>
      <w:tr w14:paraId="4556E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734" w:type="dxa"/>
            <w:tcBorders>
              <w:top w:val="single" w:color="auto" w:sz="6" w:space="0"/>
              <w:left w:val="single" w:color="auto" w:sz="12" w:space="0"/>
              <w:bottom w:val="single" w:color="auto" w:sz="6" w:space="0"/>
              <w:right w:val="single" w:color="auto" w:sz="6" w:space="0"/>
            </w:tcBorders>
            <w:vAlign w:val="center"/>
          </w:tcPr>
          <w:p w14:paraId="1273C721">
            <w:pPr>
              <w:pStyle w:val="178"/>
            </w:pPr>
            <w:r>
              <w:rPr>
                <w:rFonts w:hint="eastAsia" w:hAnsi="宋体"/>
              </w:rPr>
              <w:t>口感、气味</w:t>
            </w:r>
          </w:p>
        </w:tc>
        <w:tc>
          <w:tcPr>
            <w:tcW w:w="5070" w:type="dxa"/>
            <w:tcBorders>
              <w:top w:val="single" w:color="auto" w:sz="6" w:space="0"/>
              <w:left w:val="single" w:color="auto" w:sz="6" w:space="0"/>
              <w:bottom w:val="single" w:color="auto" w:sz="6" w:space="0"/>
              <w:right w:val="single" w:color="auto" w:sz="6" w:space="0"/>
            </w:tcBorders>
            <w:vAlign w:val="center"/>
          </w:tcPr>
          <w:p w14:paraId="649B27EA">
            <w:pPr>
              <w:pStyle w:val="178"/>
              <w:jc w:val="left"/>
            </w:pPr>
            <w:r>
              <w:rPr>
                <w:rFonts w:hint="eastAsia" w:hAnsi="宋体"/>
              </w:rPr>
              <w:t>皮脆肉嫩，咸鲜适口，羊肉香浓郁，无异味</w:t>
            </w:r>
          </w:p>
        </w:tc>
        <w:tc>
          <w:tcPr>
            <w:tcW w:w="0" w:type="auto"/>
            <w:vMerge w:val="continue"/>
            <w:tcBorders>
              <w:top w:val="nil"/>
              <w:left w:val="single" w:color="auto" w:sz="6" w:space="0"/>
              <w:bottom w:val="single" w:color="auto" w:sz="6" w:space="0"/>
              <w:right w:val="single" w:color="auto" w:sz="12" w:space="0"/>
            </w:tcBorders>
            <w:vAlign w:val="center"/>
          </w:tcPr>
          <w:p w14:paraId="57E4B461">
            <w:pPr>
              <w:widowControl/>
              <w:adjustRightInd/>
              <w:spacing w:line="240" w:lineRule="auto"/>
              <w:jc w:val="left"/>
              <w:rPr>
                <w:rFonts w:ascii="宋体" w:hAnsi="Times New Roman"/>
                <w:kern w:val="0"/>
                <w:sz w:val="18"/>
                <w:szCs w:val="18"/>
              </w:rPr>
            </w:pPr>
          </w:p>
        </w:tc>
      </w:tr>
      <w:tr w14:paraId="0ED43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8" w:hRule="atLeast"/>
          <w:jc w:val="center"/>
        </w:trPr>
        <w:tc>
          <w:tcPr>
            <w:tcW w:w="1734" w:type="dxa"/>
            <w:tcBorders>
              <w:top w:val="single" w:color="auto" w:sz="6" w:space="0"/>
              <w:left w:val="single" w:color="auto" w:sz="12" w:space="0"/>
              <w:bottom w:val="single" w:color="auto" w:sz="12" w:space="0"/>
              <w:right w:val="single" w:color="auto" w:sz="6" w:space="0"/>
            </w:tcBorders>
            <w:vAlign w:val="center"/>
          </w:tcPr>
          <w:p w14:paraId="2B7314AE">
            <w:pPr>
              <w:pStyle w:val="178"/>
            </w:pPr>
            <w:r>
              <w:rPr>
                <w:rFonts w:hint="eastAsia" w:hAnsi="宋体"/>
              </w:rPr>
              <w:t>状态</w:t>
            </w:r>
          </w:p>
        </w:tc>
        <w:tc>
          <w:tcPr>
            <w:tcW w:w="5070" w:type="dxa"/>
            <w:tcBorders>
              <w:top w:val="single" w:color="auto" w:sz="6" w:space="0"/>
              <w:left w:val="single" w:color="auto" w:sz="6" w:space="0"/>
              <w:bottom w:val="single" w:color="auto" w:sz="12" w:space="0"/>
              <w:right w:val="single" w:color="auto" w:sz="6" w:space="0"/>
            </w:tcBorders>
            <w:vAlign w:val="center"/>
          </w:tcPr>
          <w:p w14:paraId="07DC152F">
            <w:pPr>
              <w:pStyle w:val="178"/>
              <w:jc w:val="left"/>
            </w:pPr>
            <w:r>
              <w:rPr>
                <w:rFonts w:hint="eastAsia" w:hAnsi="宋体"/>
              </w:rPr>
              <w:t>腿形完整，切片整齐</w:t>
            </w:r>
          </w:p>
        </w:tc>
        <w:tc>
          <w:tcPr>
            <w:tcW w:w="0" w:type="auto"/>
            <w:vMerge w:val="continue"/>
            <w:tcBorders>
              <w:top w:val="nil"/>
              <w:left w:val="single" w:color="auto" w:sz="6" w:space="0"/>
              <w:bottom w:val="single" w:color="auto" w:sz="4" w:space="0"/>
              <w:right w:val="single" w:color="auto" w:sz="12" w:space="0"/>
            </w:tcBorders>
            <w:vAlign w:val="center"/>
          </w:tcPr>
          <w:p w14:paraId="34090668">
            <w:pPr>
              <w:widowControl/>
              <w:adjustRightInd/>
              <w:spacing w:line="240" w:lineRule="auto"/>
              <w:jc w:val="left"/>
              <w:rPr>
                <w:rFonts w:ascii="宋体" w:hAnsi="Times New Roman"/>
                <w:kern w:val="0"/>
                <w:sz w:val="18"/>
                <w:szCs w:val="18"/>
              </w:rPr>
            </w:pPr>
          </w:p>
        </w:tc>
      </w:tr>
    </w:tbl>
    <w:p w14:paraId="73AF7C21">
      <w:pPr>
        <w:pStyle w:val="65"/>
        <w:spacing w:before="156" w:after="156"/>
      </w:pPr>
      <w:r>
        <w:t>理化指标</w:t>
      </w:r>
    </w:p>
    <w:p w14:paraId="672B6471">
      <w:pPr>
        <w:pStyle w:val="56"/>
        <w:ind w:firstLine="420"/>
        <w:rPr>
          <w:rFonts w:hint="eastAsia"/>
        </w:rPr>
      </w:pPr>
      <w:r>
        <w:t>应符合表</w:t>
      </w:r>
      <w:r>
        <w:rPr>
          <w:rFonts w:hint="eastAsia"/>
        </w:rPr>
        <w:t>2的规定。</w:t>
      </w:r>
    </w:p>
    <w:p w14:paraId="343AD01E">
      <w:pPr>
        <w:pStyle w:val="56"/>
        <w:ind w:firstLine="420"/>
        <w:rPr>
          <w:rFonts w:hint="eastAsia"/>
        </w:rPr>
      </w:pPr>
    </w:p>
    <w:p w14:paraId="6AE2ADF5">
      <w:pPr>
        <w:pStyle w:val="56"/>
        <w:ind w:firstLine="420"/>
        <w:rPr>
          <w:rFonts w:hint="eastAsia"/>
        </w:rPr>
      </w:pPr>
    </w:p>
    <w:p w14:paraId="76234AB8">
      <w:pPr>
        <w:pStyle w:val="56"/>
        <w:ind w:firstLine="420"/>
        <w:rPr>
          <w:rFonts w:hint="eastAsia"/>
        </w:rPr>
      </w:pPr>
    </w:p>
    <w:p w14:paraId="41390890">
      <w:pPr>
        <w:pStyle w:val="56"/>
        <w:ind w:firstLine="420"/>
        <w:rPr>
          <w:rFonts w:hint="eastAsia"/>
        </w:rPr>
      </w:pPr>
    </w:p>
    <w:p w14:paraId="5A9AC573">
      <w:pPr>
        <w:pStyle w:val="56"/>
        <w:ind w:firstLine="420"/>
        <w:rPr>
          <w:rFonts w:hint="eastAsia"/>
          <w:lang w:val="en-US" w:eastAsia="zh-CN"/>
        </w:rPr>
      </w:pPr>
    </w:p>
    <w:p w14:paraId="402ABF1B">
      <w:pPr>
        <w:pStyle w:val="112"/>
        <w:spacing w:before="156" w:after="156"/>
      </w:pPr>
      <w:r>
        <w:rPr>
          <w:rFonts w:hint="eastAsia"/>
        </w:rPr>
        <w:t>理化指标</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3113"/>
        <w:gridCol w:w="3101"/>
        <w:gridCol w:w="3110"/>
      </w:tblGrid>
      <w:tr w14:paraId="5971F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13" w:type="dxa"/>
            <w:tcBorders>
              <w:top w:val="single" w:color="auto" w:sz="12" w:space="0"/>
              <w:left w:val="single" w:color="auto" w:sz="12" w:space="0"/>
              <w:bottom w:val="single" w:color="auto" w:sz="12" w:space="0"/>
              <w:right w:val="single" w:color="auto" w:sz="6" w:space="0"/>
            </w:tcBorders>
            <w:vAlign w:val="center"/>
          </w:tcPr>
          <w:p w14:paraId="1D8FD37C">
            <w:pPr>
              <w:pStyle w:val="178"/>
            </w:pPr>
            <w:r>
              <w:rPr>
                <w:rFonts w:hint="eastAsia" w:hAnsi="宋体"/>
              </w:rPr>
              <w:t>项目</w:t>
            </w:r>
          </w:p>
        </w:tc>
        <w:tc>
          <w:tcPr>
            <w:tcW w:w="3101" w:type="dxa"/>
            <w:tcBorders>
              <w:top w:val="single" w:color="auto" w:sz="12" w:space="0"/>
              <w:left w:val="nil"/>
              <w:bottom w:val="single" w:color="auto" w:sz="12" w:space="0"/>
              <w:right w:val="single" w:color="auto" w:sz="6" w:space="0"/>
            </w:tcBorders>
            <w:vAlign w:val="center"/>
          </w:tcPr>
          <w:p w14:paraId="73000EAE">
            <w:pPr>
              <w:pStyle w:val="178"/>
            </w:pPr>
            <w:r>
              <w:rPr>
                <w:rFonts w:hint="eastAsia" w:hAnsi="宋体"/>
              </w:rPr>
              <w:t>指标</w:t>
            </w:r>
          </w:p>
        </w:tc>
        <w:tc>
          <w:tcPr>
            <w:tcW w:w="3110" w:type="dxa"/>
            <w:tcBorders>
              <w:top w:val="single" w:color="auto" w:sz="12" w:space="0"/>
              <w:left w:val="nil"/>
              <w:bottom w:val="single" w:color="auto" w:sz="12" w:space="0"/>
              <w:right w:val="single" w:color="auto" w:sz="12" w:space="0"/>
            </w:tcBorders>
            <w:vAlign w:val="center"/>
          </w:tcPr>
          <w:p w14:paraId="5F13E488">
            <w:pPr>
              <w:pStyle w:val="178"/>
            </w:pPr>
            <w:r>
              <w:rPr>
                <w:rFonts w:hint="eastAsia" w:hAnsi="宋体"/>
              </w:rPr>
              <w:t>检测方法</w:t>
            </w:r>
          </w:p>
        </w:tc>
      </w:tr>
      <w:tr w14:paraId="4AC77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13" w:type="dxa"/>
            <w:tcBorders>
              <w:top w:val="single" w:color="auto" w:sz="12" w:space="0"/>
              <w:left w:val="single" w:color="auto" w:sz="12" w:space="0"/>
              <w:bottom w:val="single" w:color="auto" w:sz="4" w:space="0"/>
              <w:right w:val="single" w:color="auto" w:sz="6" w:space="0"/>
            </w:tcBorders>
            <w:vAlign w:val="center"/>
          </w:tcPr>
          <w:p w14:paraId="6EB72EEA">
            <w:pPr>
              <w:pStyle w:val="178"/>
              <w:rPr>
                <w:rFonts w:hint="default" w:eastAsia="宋体"/>
                <w:lang w:val="en-US" w:eastAsia="zh-CN"/>
              </w:rPr>
            </w:pPr>
            <w:r>
              <w:rPr>
                <w:rFonts w:hint="eastAsia" w:hAnsi="宋体"/>
                <w:lang w:val="en-US" w:eastAsia="zh-CN"/>
              </w:rPr>
              <w:t>水分,g/100g</w:t>
            </w:r>
          </w:p>
        </w:tc>
        <w:tc>
          <w:tcPr>
            <w:tcW w:w="3101" w:type="dxa"/>
            <w:tcBorders>
              <w:top w:val="single" w:color="auto" w:sz="12" w:space="0"/>
              <w:left w:val="nil"/>
              <w:bottom w:val="single" w:color="auto" w:sz="4" w:space="0"/>
              <w:right w:val="single" w:color="auto" w:sz="6" w:space="0"/>
            </w:tcBorders>
            <w:vAlign w:val="center"/>
          </w:tcPr>
          <w:p w14:paraId="4030E394">
            <w:pPr>
              <w:pStyle w:val="178"/>
              <w:rPr>
                <w:rFonts w:hint="default" w:eastAsia="宋体"/>
                <w:lang w:val="en-US" w:eastAsia="zh-CN"/>
              </w:rPr>
            </w:pPr>
            <w:r>
              <w:rPr>
                <w:rFonts w:hint="eastAsia" w:hAnsi="宋体"/>
              </w:rPr>
              <w:t>≤</w:t>
            </w:r>
            <w:r>
              <w:rPr>
                <w:rFonts w:hint="eastAsia" w:hAnsi="宋体"/>
                <w:lang w:val="en-US" w:eastAsia="zh-CN"/>
              </w:rPr>
              <w:t>55</w:t>
            </w:r>
          </w:p>
        </w:tc>
        <w:tc>
          <w:tcPr>
            <w:tcW w:w="3110" w:type="dxa"/>
            <w:tcBorders>
              <w:top w:val="single" w:color="auto" w:sz="12" w:space="0"/>
              <w:left w:val="nil"/>
              <w:bottom w:val="single" w:color="auto" w:sz="4" w:space="0"/>
              <w:right w:val="single" w:color="auto" w:sz="12" w:space="0"/>
            </w:tcBorders>
            <w:vAlign w:val="center"/>
          </w:tcPr>
          <w:p w14:paraId="4CC153C3">
            <w:pPr>
              <w:pStyle w:val="178"/>
            </w:pPr>
            <w:r>
              <w:rPr>
                <w:rFonts w:hint="eastAsia" w:hAnsi="宋体"/>
              </w:rPr>
              <w:t>GB 5009.3</w:t>
            </w:r>
          </w:p>
        </w:tc>
      </w:tr>
      <w:tr w14:paraId="30297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13" w:type="dxa"/>
            <w:tcBorders>
              <w:top w:val="single" w:color="auto" w:sz="4" w:space="0"/>
              <w:left w:val="single" w:color="auto" w:sz="12" w:space="0"/>
              <w:bottom w:val="single" w:color="auto" w:sz="4" w:space="0"/>
              <w:right w:val="single" w:color="auto" w:sz="6" w:space="0"/>
            </w:tcBorders>
            <w:vAlign w:val="center"/>
          </w:tcPr>
          <w:p w14:paraId="0D931FAB">
            <w:pPr>
              <w:pStyle w:val="178"/>
            </w:pPr>
            <w:r>
              <w:rPr>
                <w:rFonts w:hint="eastAsia" w:hAnsi="宋体"/>
              </w:rPr>
              <w:t>蛋白质，g/100g</w:t>
            </w:r>
          </w:p>
        </w:tc>
        <w:tc>
          <w:tcPr>
            <w:tcW w:w="3101" w:type="dxa"/>
            <w:tcBorders>
              <w:top w:val="single" w:color="auto" w:sz="4" w:space="0"/>
              <w:left w:val="nil"/>
              <w:bottom w:val="single" w:color="auto" w:sz="4" w:space="0"/>
              <w:right w:val="single" w:color="auto" w:sz="6" w:space="0"/>
            </w:tcBorders>
            <w:vAlign w:val="center"/>
          </w:tcPr>
          <w:p w14:paraId="58FD7169">
            <w:pPr>
              <w:pStyle w:val="178"/>
            </w:pPr>
            <w:r>
              <w:rPr>
                <w:rFonts w:hint="eastAsia" w:hAnsi="宋体"/>
              </w:rPr>
              <w:t>≥28</w:t>
            </w:r>
          </w:p>
        </w:tc>
        <w:tc>
          <w:tcPr>
            <w:tcW w:w="3110" w:type="dxa"/>
            <w:tcBorders>
              <w:top w:val="single" w:color="auto" w:sz="4" w:space="0"/>
              <w:left w:val="nil"/>
              <w:bottom w:val="single" w:color="auto" w:sz="4" w:space="0"/>
              <w:right w:val="single" w:color="auto" w:sz="12" w:space="0"/>
            </w:tcBorders>
            <w:vAlign w:val="center"/>
          </w:tcPr>
          <w:p w14:paraId="2A84F932">
            <w:pPr>
              <w:pStyle w:val="178"/>
            </w:pPr>
            <w:r>
              <w:rPr>
                <w:rFonts w:hint="eastAsia" w:hAnsi="宋体"/>
              </w:rPr>
              <w:t>GB 5009.5</w:t>
            </w:r>
          </w:p>
        </w:tc>
      </w:tr>
      <w:tr w14:paraId="67BFB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13" w:type="dxa"/>
            <w:tcBorders>
              <w:top w:val="single" w:color="auto" w:sz="4" w:space="0"/>
              <w:left w:val="single" w:color="auto" w:sz="12" w:space="0"/>
              <w:bottom w:val="single" w:color="auto" w:sz="12" w:space="0"/>
              <w:right w:val="single" w:color="auto" w:sz="6" w:space="0"/>
            </w:tcBorders>
            <w:vAlign w:val="center"/>
          </w:tcPr>
          <w:p w14:paraId="1A410002">
            <w:pPr>
              <w:pStyle w:val="178"/>
            </w:pPr>
            <w:r>
              <w:rPr>
                <w:rFonts w:hint="eastAsia" w:hAnsi="宋体"/>
              </w:rPr>
              <w:t>脂肪，g/100g</w:t>
            </w:r>
          </w:p>
        </w:tc>
        <w:tc>
          <w:tcPr>
            <w:tcW w:w="3101" w:type="dxa"/>
            <w:tcBorders>
              <w:top w:val="single" w:color="auto" w:sz="4" w:space="0"/>
              <w:left w:val="nil"/>
              <w:bottom w:val="single" w:color="auto" w:sz="12" w:space="0"/>
              <w:right w:val="single" w:color="auto" w:sz="6" w:space="0"/>
            </w:tcBorders>
            <w:vAlign w:val="center"/>
          </w:tcPr>
          <w:p w14:paraId="31B7CF90">
            <w:pPr>
              <w:pStyle w:val="178"/>
            </w:pPr>
            <w:r>
              <w:rPr>
                <w:rFonts w:hint="eastAsia" w:ascii="仿宋_GB2312" w:hAnsi="仿宋_GB2312"/>
              </w:rPr>
              <w:t>≤15</w:t>
            </w:r>
          </w:p>
        </w:tc>
        <w:tc>
          <w:tcPr>
            <w:tcW w:w="3110" w:type="dxa"/>
            <w:tcBorders>
              <w:top w:val="single" w:color="auto" w:sz="4" w:space="0"/>
              <w:left w:val="nil"/>
              <w:bottom w:val="single" w:color="auto" w:sz="6" w:space="0"/>
              <w:right w:val="single" w:color="auto" w:sz="12" w:space="0"/>
            </w:tcBorders>
            <w:vAlign w:val="center"/>
          </w:tcPr>
          <w:p w14:paraId="2B31D05E">
            <w:pPr>
              <w:pStyle w:val="178"/>
            </w:pPr>
            <w:r>
              <w:rPr>
                <w:rFonts w:hint="eastAsia" w:hAnsi="宋体"/>
              </w:rPr>
              <w:t>GB 5009.6</w:t>
            </w:r>
          </w:p>
        </w:tc>
      </w:tr>
      <w:tr w14:paraId="3E6B2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324" w:type="dxa"/>
            <w:gridSpan w:val="3"/>
            <w:tcBorders>
              <w:top w:val="single" w:color="auto" w:sz="12" w:space="0"/>
              <w:left w:val="single" w:color="auto" w:sz="12" w:space="0"/>
              <w:bottom w:val="single" w:color="auto" w:sz="12" w:space="0"/>
              <w:right w:val="single" w:color="auto" w:sz="12" w:space="0"/>
            </w:tcBorders>
            <w:vAlign w:val="center"/>
          </w:tcPr>
          <w:p w14:paraId="30B97F74">
            <w:pPr>
              <w:pStyle w:val="179"/>
              <w:numPr>
                <w:ilvl w:val="0"/>
                <w:numId w:val="32"/>
              </w:numPr>
              <w:spacing w:before="100" w:beforeAutospacing="1" w:after="100" w:afterAutospacing="1"/>
            </w:pPr>
            <w:r>
              <w:rPr>
                <w:rFonts w:hint="eastAsia" w:hAnsi="宋体"/>
              </w:rPr>
              <w:t>产品理化指标的检验试样，应按照GB/T 9695.19的规定取样。</w:t>
            </w:r>
          </w:p>
        </w:tc>
      </w:tr>
    </w:tbl>
    <w:p w14:paraId="720C8513">
      <w:pPr>
        <w:pStyle w:val="65"/>
        <w:spacing w:before="156" w:after="156"/>
      </w:pPr>
      <w:r>
        <w:t>污染物限量</w:t>
      </w:r>
    </w:p>
    <w:p w14:paraId="5A24A280">
      <w:pPr>
        <w:pStyle w:val="56"/>
        <w:ind w:firstLine="420"/>
      </w:pPr>
      <w:r>
        <w:t>应符合</w:t>
      </w:r>
      <w:r>
        <w:rPr>
          <w:rFonts w:hint="eastAsia"/>
        </w:rPr>
        <w:t>GB 2762及表3的规定。</w:t>
      </w:r>
    </w:p>
    <w:p w14:paraId="430B5072">
      <w:pPr>
        <w:pStyle w:val="112"/>
        <w:spacing w:before="156" w:after="156"/>
      </w:pPr>
      <w:r>
        <w:rPr>
          <w:rFonts w:hint="eastAsia"/>
        </w:rPr>
        <w:t>污染物限量</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07"/>
        <w:gridCol w:w="3108"/>
        <w:gridCol w:w="3109"/>
      </w:tblGrid>
      <w:tr w14:paraId="4B648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07" w:type="dxa"/>
            <w:tcBorders>
              <w:top w:val="single" w:color="auto" w:sz="12" w:space="0"/>
              <w:left w:val="single" w:color="auto" w:sz="12" w:space="0"/>
              <w:bottom w:val="single" w:color="auto" w:sz="12" w:space="0"/>
              <w:right w:val="single" w:color="auto" w:sz="6" w:space="0"/>
            </w:tcBorders>
            <w:vAlign w:val="center"/>
          </w:tcPr>
          <w:p w14:paraId="2ACC9C09">
            <w:pPr>
              <w:pStyle w:val="178"/>
            </w:pPr>
            <w:r>
              <w:rPr>
                <w:rFonts w:hint="eastAsia" w:hAnsi="宋体"/>
              </w:rPr>
              <w:t>项目</w:t>
            </w:r>
          </w:p>
        </w:tc>
        <w:tc>
          <w:tcPr>
            <w:tcW w:w="3108" w:type="dxa"/>
            <w:tcBorders>
              <w:top w:val="single" w:color="auto" w:sz="12" w:space="0"/>
              <w:left w:val="nil"/>
              <w:bottom w:val="single" w:color="auto" w:sz="12" w:space="0"/>
              <w:right w:val="single" w:color="auto" w:sz="6" w:space="0"/>
            </w:tcBorders>
            <w:vAlign w:val="center"/>
          </w:tcPr>
          <w:p w14:paraId="73604C6F">
            <w:pPr>
              <w:pStyle w:val="178"/>
            </w:pPr>
            <w:r>
              <w:rPr>
                <w:rFonts w:hint="eastAsia" w:hAnsi="宋体"/>
              </w:rPr>
              <w:t>指标</w:t>
            </w:r>
          </w:p>
        </w:tc>
        <w:tc>
          <w:tcPr>
            <w:tcW w:w="3109" w:type="dxa"/>
            <w:tcBorders>
              <w:top w:val="single" w:color="auto" w:sz="12" w:space="0"/>
              <w:left w:val="nil"/>
              <w:bottom w:val="single" w:color="auto" w:sz="12" w:space="0"/>
              <w:right w:val="single" w:color="auto" w:sz="12" w:space="0"/>
            </w:tcBorders>
            <w:vAlign w:val="center"/>
          </w:tcPr>
          <w:p w14:paraId="4A43C6E4">
            <w:pPr>
              <w:pStyle w:val="178"/>
            </w:pPr>
            <w:r>
              <w:rPr>
                <w:rFonts w:hint="eastAsia" w:hAnsi="宋体"/>
              </w:rPr>
              <w:t>检验方法</w:t>
            </w:r>
          </w:p>
        </w:tc>
      </w:tr>
      <w:tr w14:paraId="3F4A5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07" w:type="dxa"/>
            <w:tcBorders>
              <w:top w:val="single" w:color="auto" w:sz="12" w:space="0"/>
              <w:left w:val="single" w:color="auto" w:sz="12" w:space="0"/>
              <w:bottom w:val="single" w:color="auto" w:sz="4" w:space="0"/>
              <w:right w:val="single" w:color="auto" w:sz="6" w:space="0"/>
            </w:tcBorders>
            <w:vAlign w:val="center"/>
          </w:tcPr>
          <w:p w14:paraId="71F0DD45">
            <w:pPr>
              <w:pStyle w:val="178"/>
            </w:pPr>
            <w:r>
              <w:rPr>
                <w:rFonts w:hint="eastAsia" w:hAnsi="宋体"/>
              </w:rPr>
              <w:t>铅（以Pb计），mg/kg</w:t>
            </w:r>
          </w:p>
        </w:tc>
        <w:tc>
          <w:tcPr>
            <w:tcW w:w="3108" w:type="dxa"/>
            <w:tcBorders>
              <w:top w:val="single" w:color="auto" w:sz="12" w:space="0"/>
              <w:left w:val="nil"/>
              <w:bottom w:val="single" w:color="auto" w:sz="4" w:space="0"/>
              <w:right w:val="single" w:color="auto" w:sz="6" w:space="0"/>
            </w:tcBorders>
            <w:vAlign w:val="center"/>
          </w:tcPr>
          <w:p w14:paraId="5E376307">
            <w:pPr>
              <w:pStyle w:val="178"/>
            </w:pPr>
            <w:r>
              <w:rPr>
                <w:rFonts w:hint="eastAsia" w:hAnsi="宋体"/>
              </w:rPr>
              <w:t>≤0.02</w:t>
            </w:r>
          </w:p>
        </w:tc>
        <w:tc>
          <w:tcPr>
            <w:tcW w:w="3109" w:type="dxa"/>
            <w:tcBorders>
              <w:top w:val="single" w:color="auto" w:sz="12" w:space="0"/>
              <w:left w:val="nil"/>
              <w:bottom w:val="single" w:color="auto" w:sz="4" w:space="0"/>
              <w:right w:val="single" w:color="auto" w:sz="12" w:space="0"/>
            </w:tcBorders>
            <w:vAlign w:val="center"/>
          </w:tcPr>
          <w:p w14:paraId="07E723D8">
            <w:pPr>
              <w:pStyle w:val="178"/>
            </w:pPr>
            <w:r>
              <w:rPr>
                <w:rFonts w:hint="eastAsia" w:hAnsi="宋体"/>
              </w:rPr>
              <w:t>GB 5009.12</w:t>
            </w:r>
          </w:p>
        </w:tc>
      </w:tr>
      <w:tr w14:paraId="1B350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3107" w:type="dxa"/>
            <w:tcBorders>
              <w:top w:val="single" w:color="auto" w:sz="4" w:space="0"/>
              <w:left w:val="single" w:color="auto" w:sz="12" w:space="0"/>
              <w:bottom w:val="single" w:color="auto" w:sz="12" w:space="0"/>
              <w:right w:val="single" w:color="auto" w:sz="6" w:space="0"/>
            </w:tcBorders>
            <w:vAlign w:val="center"/>
          </w:tcPr>
          <w:p w14:paraId="021F3C49">
            <w:pPr>
              <w:pStyle w:val="178"/>
              <w:rPr>
                <w:rFonts w:hint="eastAsia" w:hAnsi="宋体"/>
              </w:rPr>
            </w:pPr>
            <w:r>
              <w:rPr>
                <w:rFonts w:hint="eastAsia"/>
              </w:rPr>
              <w:t>苯并[a]芘,μ</w:t>
            </w:r>
            <w:r>
              <w:t>g/kg</w:t>
            </w:r>
          </w:p>
        </w:tc>
        <w:tc>
          <w:tcPr>
            <w:tcW w:w="3108" w:type="dxa"/>
            <w:tcBorders>
              <w:top w:val="single" w:color="auto" w:sz="4" w:space="0"/>
              <w:left w:val="nil"/>
              <w:bottom w:val="single" w:color="auto" w:sz="12" w:space="0"/>
              <w:right w:val="single" w:color="auto" w:sz="6" w:space="0"/>
            </w:tcBorders>
            <w:vAlign w:val="center"/>
          </w:tcPr>
          <w:p w14:paraId="44CDE0E2">
            <w:pPr>
              <w:pStyle w:val="178"/>
              <w:rPr>
                <w:rFonts w:hint="default" w:hAnsi="宋体" w:eastAsia="宋体"/>
                <w:lang w:val="en-US" w:eastAsia="zh-CN"/>
              </w:rPr>
            </w:pPr>
            <w:r>
              <w:rPr>
                <w:rFonts w:hint="eastAsia" w:hAnsi="宋体"/>
                <w:lang w:val="en-US" w:eastAsia="zh-CN"/>
              </w:rPr>
              <w:t>5.0</w:t>
            </w:r>
          </w:p>
        </w:tc>
        <w:tc>
          <w:tcPr>
            <w:tcW w:w="3109" w:type="dxa"/>
            <w:tcBorders>
              <w:top w:val="single" w:color="auto" w:sz="4" w:space="0"/>
              <w:left w:val="nil"/>
              <w:bottom w:val="single" w:color="auto" w:sz="12" w:space="0"/>
              <w:right w:val="single" w:color="auto" w:sz="12" w:space="0"/>
            </w:tcBorders>
            <w:vAlign w:val="center"/>
          </w:tcPr>
          <w:p w14:paraId="10C78B19">
            <w:pPr>
              <w:pStyle w:val="178"/>
              <w:rPr>
                <w:rFonts w:hint="eastAsia" w:hAnsi="宋体"/>
              </w:rPr>
            </w:pPr>
            <w:r>
              <w:t>GB 2762</w:t>
            </w:r>
          </w:p>
        </w:tc>
      </w:tr>
    </w:tbl>
    <w:p w14:paraId="0818A0EA">
      <w:pPr>
        <w:pStyle w:val="65"/>
        <w:spacing w:before="156" w:after="156"/>
      </w:pPr>
      <w:r>
        <w:t>微生物限量</w:t>
      </w:r>
    </w:p>
    <w:p w14:paraId="66D5D0E8">
      <w:pPr>
        <w:pStyle w:val="56"/>
        <w:ind w:firstLine="420"/>
      </w:pPr>
      <w:r>
        <w:rPr>
          <w:rFonts w:hint="eastAsia"/>
        </w:rPr>
        <w:t>应符合GB 2726的规定。</w:t>
      </w:r>
    </w:p>
    <w:p w14:paraId="612892F4">
      <w:pPr>
        <w:pStyle w:val="65"/>
        <w:spacing w:before="156" w:after="156"/>
      </w:pPr>
      <w:r>
        <w:t>食品添加剂</w:t>
      </w:r>
    </w:p>
    <w:p w14:paraId="4ECC75F4">
      <w:pPr>
        <w:pStyle w:val="56"/>
        <w:ind w:firstLine="420"/>
      </w:pPr>
      <w:r>
        <w:rPr>
          <w:rFonts w:hint="eastAsia"/>
        </w:rPr>
        <w:t>食品添加剂的使用应符合GB 2760的规定。</w:t>
      </w:r>
    </w:p>
    <w:p w14:paraId="4816E618">
      <w:pPr>
        <w:pStyle w:val="105"/>
        <w:spacing w:before="156" w:after="156"/>
        <w:rPr>
          <w:rFonts w:hint="eastAsia"/>
        </w:rPr>
      </w:pPr>
      <w:r>
        <w:t>包装、</w:t>
      </w:r>
      <w:r>
        <w:rPr>
          <w:rFonts w:hint="eastAsia"/>
        </w:rPr>
        <w:t>标签与</w:t>
      </w:r>
      <w:r>
        <w:t>标识</w:t>
      </w:r>
    </w:p>
    <w:p w14:paraId="56008F40">
      <w:pPr>
        <w:pStyle w:val="65"/>
        <w:spacing w:before="156" w:after="156"/>
        <w:rPr>
          <w:rFonts w:hint="eastAsia"/>
        </w:rPr>
      </w:pPr>
      <w:r>
        <w:rPr>
          <w:rFonts w:hint="eastAsia"/>
        </w:rPr>
        <w:t>包装</w:t>
      </w:r>
    </w:p>
    <w:p w14:paraId="7EF2F3C0">
      <w:pPr>
        <w:pStyle w:val="56"/>
        <w:ind w:firstLine="420"/>
        <w:rPr>
          <w:rFonts w:hint="eastAsia"/>
        </w:rPr>
      </w:pPr>
      <w:r>
        <w:rPr>
          <w:rFonts w:hint="eastAsia"/>
        </w:rPr>
        <w:t>包装容器与材料应符合GB 4806.7及GB 4806.13的规定。</w:t>
      </w:r>
    </w:p>
    <w:p w14:paraId="77C8A099">
      <w:pPr>
        <w:pStyle w:val="65"/>
        <w:spacing w:before="156" w:after="156"/>
        <w:rPr>
          <w:rFonts w:hint="eastAsia"/>
        </w:rPr>
      </w:pPr>
      <w:r>
        <w:rPr>
          <w:rFonts w:hint="eastAsia"/>
        </w:rPr>
        <w:t>标签与标识</w:t>
      </w:r>
    </w:p>
    <w:p w14:paraId="238C146B">
      <w:pPr>
        <w:pStyle w:val="94"/>
        <w:spacing w:before="156" w:after="156"/>
        <w:rPr>
          <w:rFonts w:hint="eastAsia" w:ascii="宋体" w:hAnsi="宋体" w:eastAsia="宋体"/>
        </w:rPr>
      </w:pPr>
      <w:r>
        <w:rPr>
          <w:rFonts w:hint="eastAsia" w:ascii="宋体" w:hAnsi="宋体" w:eastAsia="宋体"/>
        </w:rPr>
        <w:t>标签应符合</w:t>
      </w:r>
      <w:r>
        <w:rPr>
          <w:rFonts w:hint="eastAsia" w:ascii="宋体" w:hAnsi="宋体" w:eastAsia="宋体" w:cs="Calibri"/>
        </w:rPr>
        <w:t>GB 7718</w:t>
      </w:r>
      <w:r>
        <w:rPr>
          <w:rFonts w:hint="eastAsia" w:ascii="宋体" w:hAnsi="宋体" w:eastAsia="宋体"/>
        </w:rPr>
        <w:t>和</w:t>
      </w:r>
      <w:r>
        <w:rPr>
          <w:rFonts w:hint="eastAsia" w:ascii="宋体" w:hAnsi="宋体" w:eastAsia="宋体" w:cs="Calibri"/>
        </w:rPr>
        <w:t>GB 28050</w:t>
      </w:r>
      <w:r>
        <w:rPr>
          <w:rFonts w:hint="eastAsia" w:ascii="宋体" w:hAnsi="宋体" w:eastAsia="宋体"/>
        </w:rPr>
        <w:t>的规定。</w:t>
      </w:r>
    </w:p>
    <w:p w14:paraId="4ECD3D97">
      <w:pPr>
        <w:pStyle w:val="94"/>
        <w:spacing w:before="156" w:after="156"/>
        <w:rPr>
          <w:rFonts w:hint="eastAsia" w:ascii="宋体" w:hAnsi="宋体" w:eastAsia="宋体"/>
        </w:rPr>
      </w:pPr>
      <w:r>
        <w:rPr>
          <w:rFonts w:hint="eastAsia" w:ascii="宋体" w:hAnsi="宋体" w:eastAsia="宋体"/>
        </w:rPr>
        <w:t>包装储运图示标志应符合</w:t>
      </w:r>
      <w:r>
        <w:rPr>
          <w:rFonts w:hint="eastAsia" w:ascii="宋体" w:hAnsi="宋体" w:eastAsia="宋体" w:cs="Calibri"/>
        </w:rPr>
        <w:t>GB/T 191</w:t>
      </w:r>
      <w:r>
        <w:rPr>
          <w:rFonts w:hint="eastAsia" w:ascii="宋体" w:hAnsi="宋体" w:eastAsia="宋体"/>
        </w:rPr>
        <w:t>的规定。</w:t>
      </w:r>
    </w:p>
    <w:p w14:paraId="012E0A5F">
      <w:pPr>
        <w:pStyle w:val="94"/>
        <w:spacing w:before="156" w:after="156"/>
        <w:rPr>
          <w:rFonts w:hint="eastAsia" w:ascii="宋体" w:hAnsi="宋体" w:eastAsia="宋体"/>
        </w:rPr>
      </w:pPr>
      <w:r>
        <w:rPr>
          <w:rFonts w:hint="eastAsia" w:ascii="宋体" w:hAnsi="宋体" w:eastAsia="宋体"/>
        </w:rPr>
        <w:t>“蒙”字标产品专用标识的使用应符合“蒙”字标认证的规定。</w:t>
      </w:r>
    </w:p>
    <w:p w14:paraId="63832810">
      <w:pPr>
        <w:pStyle w:val="105"/>
        <w:spacing w:before="156" w:after="156"/>
        <w:rPr>
          <w:rFonts w:hint="eastAsia"/>
        </w:rPr>
      </w:pPr>
      <w:r>
        <w:t>贮存与运输</w:t>
      </w:r>
    </w:p>
    <w:p w14:paraId="735A48D6">
      <w:pPr>
        <w:pStyle w:val="65"/>
        <w:spacing w:before="156" w:after="156"/>
        <w:rPr>
          <w:rFonts w:hint="eastAsia"/>
        </w:rPr>
      </w:pPr>
      <w:r>
        <w:t>贮存</w:t>
      </w:r>
    </w:p>
    <w:p w14:paraId="0BA3CF32">
      <w:pPr>
        <w:pStyle w:val="94"/>
        <w:spacing w:before="156" w:after="156"/>
        <w:rPr>
          <w:rFonts w:ascii="宋体" w:hAnsi="宋体" w:eastAsia="宋体"/>
        </w:rPr>
      </w:pPr>
      <w:r>
        <w:rPr>
          <w:rFonts w:hint="eastAsia" w:ascii="宋体" w:hAnsi="宋体" w:eastAsia="宋体"/>
        </w:rPr>
        <w:t>应贮存在清洁卫生、阴凉、通风、干燥的仓库内。</w:t>
      </w:r>
    </w:p>
    <w:p w14:paraId="0D26B020">
      <w:pPr>
        <w:pStyle w:val="94"/>
        <w:spacing w:before="156" w:after="156"/>
        <w:rPr>
          <w:rFonts w:hint="eastAsia" w:ascii="宋体" w:hAnsi="宋体" w:eastAsia="宋体"/>
        </w:rPr>
      </w:pPr>
      <w:r>
        <w:rPr>
          <w:rFonts w:hint="eastAsia" w:ascii="宋体" w:hAnsi="宋体" w:eastAsia="宋体"/>
        </w:rPr>
        <w:t>不应与有害、有异味、有腐蚀性的物质混放。</w:t>
      </w:r>
    </w:p>
    <w:p w14:paraId="194FD4EB">
      <w:pPr>
        <w:pStyle w:val="65"/>
        <w:spacing w:before="156" w:after="156"/>
        <w:rPr>
          <w:rFonts w:hint="eastAsia"/>
        </w:rPr>
      </w:pPr>
      <w:r>
        <w:t>运输</w:t>
      </w:r>
    </w:p>
    <w:p w14:paraId="7F696F86">
      <w:pPr>
        <w:pStyle w:val="94"/>
        <w:spacing w:before="156" w:after="156"/>
        <w:rPr>
          <w:rFonts w:hint="eastAsia" w:ascii="宋体" w:hAnsi="宋体" w:eastAsia="宋体"/>
        </w:rPr>
      </w:pPr>
      <w:r>
        <w:rPr>
          <w:rFonts w:hint="eastAsia" w:ascii="宋体" w:hAnsi="宋体" w:eastAsia="宋体"/>
        </w:rPr>
        <w:t>运输工具应清洁、卫生、防晒、防雨、防潮。</w:t>
      </w:r>
    </w:p>
    <w:p w14:paraId="788B0C47">
      <w:pPr>
        <w:pStyle w:val="94"/>
        <w:spacing w:before="156" w:after="156"/>
        <w:rPr>
          <w:rFonts w:ascii="宋体" w:hAnsi="宋体" w:eastAsia="宋体"/>
        </w:rPr>
      </w:pPr>
      <w:r>
        <w:rPr>
          <w:rFonts w:hint="eastAsia" w:ascii="宋体" w:hAnsi="宋体" w:eastAsia="宋体"/>
        </w:rPr>
        <w:t>不应与有毒、有害、有腐蚀性、易挥发或有异味的物品混装混运。</w:t>
      </w:r>
    </w:p>
    <w:p w14:paraId="11673852">
      <w:pPr>
        <w:pStyle w:val="105"/>
        <w:spacing w:before="156" w:after="156"/>
        <w:rPr>
          <w:rFonts w:hint="eastAsia"/>
        </w:rPr>
      </w:pPr>
      <w:r>
        <w:t>记录与文件管理</w:t>
      </w:r>
    </w:p>
    <w:p w14:paraId="54940042">
      <w:pPr>
        <w:pStyle w:val="65"/>
        <w:spacing w:before="156" w:after="156"/>
        <w:rPr>
          <w:rFonts w:hint="eastAsia" w:ascii="宋体" w:hAnsi="宋体" w:eastAsia="宋体"/>
        </w:rPr>
      </w:pPr>
      <w:r>
        <w:rPr>
          <w:rFonts w:hint="eastAsia" w:ascii="宋体" w:hAnsi="宋体" w:eastAsia="宋体"/>
        </w:rPr>
        <w:t>生产者应建立原料来源的记录，并提供相应的检验报告。</w:t>
      </w:r>
    </w:p>
    <w:p w14:paraId="5204AC59">
      <w:pPr>
        <w:pStyle w:val="65"/>
        <w:spacing w:before="156" w:after="156"/>
        <w:rPr>
          <w:rFonts w:hint="eastAsia" w:ascii="宋体" w:hAnsi="宋体" w:eastAsia="宋体"/>
        </w:rPr>
      </w:pPr>
      <w:r>
        <w:rPr>
          <w:rFonts w:hint="eastAsia" w:ascii="宋体" w:hAnsi="宋体" w:eastAsia="宋体"/>
        </w:rPr>
        <w:t>加工过程应建立相应的管理记录，生产加工记录与文件管理应符合</w:t>
      </w:r>
      <w:r>
        <w:rPr>
          <w:rFonts w:hint="eastAsia" w:ascii="宋体" w:hAnsi="宋体" w:eastAsia="宋体" w:cs="Calibri"/>
        </w:rPr>
        <w:t>GB 14881</w:t>
      </w:r>
      <w:r>
        <w:rPr>
          <w:rFonts w:hint="eastAsia" w:ascii="宋体" w:hAnsi="宋体" w:eastAsia="宋体"/>
        </w:rPr>
        <w:t>的规定。</w:t>
      </w:r>
    </w:p>
    <w:p w14:paraId="4C64E221">
      <w:pPr>
        <w:pStyle w:val="105"/>
        <w:spacing w:before="156" w:after="156"/>
        <w:rPr>
          <w:rFonts w:hint="eastAsia"/>
          <w:color w:val="000000" w:themeColor="text1"/>
          <w14:textFill>
            <w14:solidFill>
              <w14:schemeClr w14:val="tx1"/>
            </w14:solidFill>
          </w14:textFill>
        </w:rPr>
      </w:pPr>
      <w:r>
        <w:rPr>
          <w:color w:val="000000" w:themeColor="text1"/>
          <w14:textFill>
            <w14:solidFill>
              <w14:schemeClr w14:val="tx1"/>
            </w14:solidFill>
          </w14:textFill>
        </w:rPr>
        <w:t>认证规则、程序及评价方法</w:t>
      </w:r>
    </w:p>
    <w:bookmarkEnd w:id="15"/>
    <w:p w14:paraId="4F69C1C3">
      <w:pPr>
        <w:pStyle w:val="56"/>
        <w:ind w:firstLine="420"/>
      </w:pPr>
      <w:bookmarkStart w:id="34" w:name="BookMark8"/>
      <w:r>
        <w:rPr>
          <w:rFonts w:hint="eastAsia"/>
        </w:rPr>
        <w:t>“蒙”字标服务认证规则、程序及评价方法按照内蒙古自治区市场监督管理局“蒙”字标认证相关要求执行。</w:t>
      </w:r>
    </w:p>
    <w:p w14:paraId="61C76A0C">
      <w:pPr>
        <w:pStyle w:val="56"/>
        <w:ind w:firstLine="0" w:firstLineChars="0"/>
        <w:jc w:val="center"/>
      </w:pPr>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2"/>
                    <a:stretch>
                      <a:fillRect/>
                    </a:stretch>
                  </pic:blipFill>
                  <pic:spPr>
                    <a:xfrm>
                      <a:off x="0" y="0"/>
                      <a:ext cx="1485900" cy="317500"/>
                    </a:xfrm>
                    <a:prstGeom prst="rect">
                      <a:avLst/>
                    </a:prstGeom>
                  </pic:spPr>
                </pic:pic>
              </a:graphicData>
            </a:graphic>
          </wp:inline>
        </w:drawing>
      </w:r>
      <w:bookmarkEnd w:id="34"/>
    </w:p>
    <w:sectPr>
      <w:headerReference r:id="rId15" w:type="default"/>
      <w:footerReference r:id="rId17" w:type="default"/>
      <w:headerReference r:id="rId16" w:type="even"/>
      <w:footerReference r:id="rId18" w:type="even"/>
      <w:pgSz w:w="11906" w:h="16838"/>
      <w:pgMar w:top="1871"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4169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67F9">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D5AB4">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2C1F5">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8BF2B">
    <w:pPr>
      <w:pStyle w:val="51"/>
    </w:pPr>
    <w:r>
      <w:fldChar w:fldCharType="begin"/>
    </w:r>
    <w:r>
      <w:instrText xml:space="preserve">PAGE   \* MERGEFORMAT</w:instrText>
    </w:r>
    <w:r>
      <w:fldChar w:fldCharType="separate"/>
    </w:r>
    <w:r>
      <w:rPr>
        <w:lang w:val="zh-CN"/>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BDF4D">
    <w:pPr>
      <w:pStyle w:val="52"/>
    </w:pPr>
    <w:r>
      <w:fldChar w:fldCharType="begin"/>
    </w:r>
    <w:r>
      <w:instrText xml:space="preserve">PAGE   \* MERGEFORMAT</w:instrText>
    </w:r>
    <w:r>
      <w:fldChar w:fldCharType="separate"/>
    </w:r>
    <w:r>
      <w:rPr>
        <w:lang w:val="zh-CN"/>
      </w:rPr>
      <w:t>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D49C9">
    <w:pPr>
      <w:pStyle w:val="51"/>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C6C6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3C41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74123">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E544A">
    <w:pPr>
      <w:pStyle w:val="61"/>
    </w:pPr>
    <w:r>
      <w:fldChar w:fldCharType="begin"/>
    </w:r>
    <w:r>
      <w:instrText xml:space="preserve"> STYLEREF  标准文件_文件编号  \* MERGEFORMAT </w:instrText>
    </w:r>
    <w:r>
      <w:fldChar w:fldCharType="separate"/>
    </w:r>
    <w:r>
      <w:t>T/NMSP.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23486">
    <w:pPr>
      <w:pStyle w:val="62"/>
    </w:pPr>
    <w:r>
      <w:fldChar w:fldCharType="begin"/>
    </w:r>
    <w:r>
      <w:instrText xml:space="preserve"> STYLEREF  标准文件_文件编号 \* MERGEFORMAT </w:instrText>
    </w:r>
    <w:r>
      <w:fldChar w:fldCharType="separate"/>
    </w:r>
    <w:r>
      <w:t>T/NMSP.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83E08">
    <w:pPr>
      <w:pStyle w:val="61"/>
    </w:pPr>
    <w:r>
      <w:fldChar w:fldCharType="begin"/>
    </w:r>
    <w:r>
      <w:instrText xml:space="preserve"> STYLEREF  标准文件_文件编号  \* MERGEFORMAT </w:instrText>
    </w:r>
    <w:r>
      <w:fldChar w:fldCharType="separate"/>
    </w:r>
    <w:r>
      <w:t>T/NMSP.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61D5F">
    <w:pPr>
      <w:pStyle w:val="62"/>
    </w:pPr>
    <w:r>
      <w:fldChar w:fldCharType="begin"/>
    </w:r>
    <w:r>
      <w:instrText xml:space="preserve"> STYLEREF  标准文件_文件编号 \* MERGEFORMAT </w:instrText>
    </w:r>
    <w:r>
      <w:fldChar w:fldCharType="separate"/>
    </w:r>
    <w:r>
      <w:t>T/NMSP.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3FA1DC4"/>
    <w:multiLevelType w:val="multilevel"/>
    <w:tmpl w:val="43FA1DC4"/>
    <w:lvl w:ilvl="0" w:tentative="0">
      <w:start w:val="1"/>
      <w:numFmt w:val="none"/>
      <w:lvlText w:val="%1注："/>
      <w:lvlJc w:val="left"/>
      <w:pPr>
        <w:ind w:left="737" w:hanging="374"/>
      </w:pPr>
      <w:rPr>
        <w:rFonts w:hint="eastAsia" w:ascii="黑体" w:hAnsi="黑体" w:eastAsia="黑体"/>
        <w:b w:val="0"/>
        <w:i w:val="0"/>
        <w:sz w:val="18"/>
        <w:szCs w:val="18"/>
      </w:rPr>
    </w:lvl>
    <w:lvl w:ilvl="1" w:tentative="0">
      <w:start w:val="1"/>
      <w:numFmt w:val="lowerLetter"/>
      <w:lvlText w:val="%2)"/>
      <w:lvlJc w:val="left"/>
      <w:pPr>
        <w:tabs>
          <w:tab w:val="left" w:pos="1140"/>
        </w:tabs>
        <w:ind w:left="726" w:hanging="363"/>
      </w:pPr>
      <w:rPr>
        <w:rFonts w:hint="eastAsia" w:ascii="宋体" w:hAnsi="宋体" w:eastAsia="宋体"/>
      </w:rPr>
    </w:lvl>
    <w:lvl w:ilvl="2" w:tentative="0">
      <w:start w:val="1"/>
      <w:numFmt w:val="lowerRoman"/>
      <w:lvlText w:val="%3."/>
      <w:lvlJc w:val="right"/>
      <w:pPr>
        <w:tabs>
          <w:tab w:val="left" w:pos="1140"/>
        </w:tabs>
        <w:ind w:left="726" w:hanging="363"/>
      </w:pPr>
      <w:rPr>
        <w:rFonts w:hint="eastAsia" w:ascii="宋体" w:hAnsi="宋体" w:eastAsia="宋体"/>
      </w:rPr>
    </w:lvl>
    <w:lvl w:ilvl="3" w:tentative="0">
      <w:start w:val="1"/>
      <w:numFmt w:val="decimal"/>
      <w:lvlText w:val="%4."/>
      <w:lvlJc w:val="left"/>
      <w:pPr>
        <w:tabs>
          <w:tab w:val="left" w:pos="1140"/>
        </w:tabs>
        <w:ind w:left="726" w:hanging="363"/>
      </w:pPr>
      <w:rPr>
        <w:rFonts w:hint="eastAsia" w:ascii="宋体" w:hAnsi="宋体" w:eastAsia="宋体"/>
      </w:rPr>
    </w:lvl>
    <w:lvl w:ilvl="4" w:tentative="0">
      <w:start w:val="1"/>
      <w:numFmt w:val="lowerLetter"/>
      <w:lvlText w:val="%5)"/>
      <w:lvlJc w:val="left"/>
      <w:pPr>
        <w:tabs>
          <w:tab w:val="left" w:pos="1140"/>
        </w:tabs>
        <w:ind w:left="726" w:hanging="363"/>
      </w:pPr>
      <w:rPr>
        <w:rFonts w:hint="eastAsia" w:ascii="宋体" w:hAnsi="宋体" w:eastAsia="宋体"/>
      </w:rPr>
    </w:lvl>
    <w:lvl w:ilvl="5" w:tentative="0">
      <w:start w:val="1"/>
      <w:numFmt w:val="lowerRoman"/>
      <w:lvlText w:val="%6."/>
      <w:lvlJc w:val="right"/>
      <w:pPr>
        <w:tabs>
          <w:tab w:val="left" w:pos="1140"/>
        </w:tabs>
        <w:ind w:left="726" w:hanging="363"/>
      </w:pPr>
      <w:rPr>
        <w:rFonts w:hint="eastAsia" w:ascii="宋体" w:hAnsi="宋体" w:eastAsia="宋体"/>
      </w:rPr>
    </w:lvl>
    <w:lvl w:ilvl="6" w:tentative="0">
      <w:start w:val="1"/>
      <w:numFmt w:val="decimal"/>
      <w:lvlText w:val="%7."/>
      <w:lvlJc w:val="left"/>
      <w:pPr>
        <w:tabs>
          <w:tab w:val="left" w:pos="1140"/>
        </w:tabs>
        <w:ind w:left="726" w:hanging="363"/>
      </w:pPr>
      <w:rPr>
        <w:rFonts w:hint="eastAsia" w:ascii="宋体" w:hAnsi="宋体" w:eastAsia="宋体"/>
      </w:rPr>
    </w:lvl>
    <w:lvl w:ilvl="7" w:tentative="0">
      <w:start w:val="1"/>
      <w:numFmt w:val="lowerLetter"/>
      <w:lvlText w:val="%8)"/>
      <w:lvlJc w:val="left"/>
      <w:pPr>
        <w:tabs>
          <w:tab w:val="left" w:pos="1140"/>
        </w:tabs>
        <w:ind w:left="726" w:hanging="363"/>
      </w:pPr>
      <w:rPr>
        <w:rFonts w:hint="eastAsia" w:ascii="宋体" w:hAnsi="宋体" w:eastAsia="宋体"/>
      </w:rPr>
    </w:lvl>
    <w:lvl w:ilvl="8" w:tentative="0">
      <w:start w:val="1"/>
      <w:numFmt w:val="lowerRoman"/>
      <w:lvlText w:val="%9."/>
      <w:lvlJc w:val="right"/>
      <w:pPr>
        <w:tabs>
          <w:tab w:val="left" w:pos="1140"/>
        </w:tabs>
        <w:ind w:left="726" w:hanging="363"/>
      </w:pPr>
      <w:rPr>
        <w:rFonts w:hint="eastAsia" w:ascii="宋体" w:hAnsi="宋体" w:eastAsia="宋体"/>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BC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574F"/>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4DB"/>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E20"/>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75B"/>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CD8"/>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4F68"/>
    <w:rsid w:val="003474AA"/>
    <w:rsid w:val="00350D1D"/>
    <w:rsid w:val="00352C83"/>
    <w:rsid w:val="003615D2"/>
    <w:rsid w:val="0036429C"/>
    <w:rsid w:val="00364A53"/>
    <w:rsid w:val="003654CB"/>
    <w:rsid w:val="00365AA9"/>
    <w:rsid w:val="00365F86"/>
    <w:rsid w:val="00365F87"/>
    <w:rsid w:val="00366E89"/>
    <w:rsid w:val="003676AE"/>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56C1"/>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0247"/>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F15"/>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332"/>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05B"/>
    <w:rsid w:val="00755402"/>
    <w:rsid w:val="00756B26"/>
    <w:rsid w:val="00756EDF"/>
    <w:rsid w:val="007600E3"/>
    <w:rsid w:val="00765C43"/>
    <w:rsid w:val="00765EFB"/>
    <w:rsid w:val="00766BF2"/>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3BA1"/>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7409"/>
    <w:rsid w:val="0089049D"/>
    <w:rsid w:val="008928C9"/>
    <w:rsid w:val="008930CB"/>
    <w:rsid w:val="008938DC"/>
    <w:rsid w:val="00893FD1"/>
    <w:rsid w:val="00894836"/>
    <w:rsid w:val="00895172"/>
    <w:rsid w:val="00895680"/>
    <w:rsid w:val="00896DFF"/>
    <w:rsid w:val="0089762C"/>
    <w:rsid w:val="008A1893"/>
    <w:rsid w:val="008A57E6"/>
    <w:rsid w:val="008A596E"/>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B48"/>
    <w:rsid w:val="009245F5"/>
    <w:rsid w:val="009249EC"/>
    <w:rsid w:val="009273B3"/>
    <w:rsid w:val="009305B5"/>
    <w:rsid w:val="00931C4D"/>
    <w:rsid w:val="009429D5"/>
    <w:rsid w:val="00942BF1"/>
    <w:rsid w:val="00945180"/>
    <w:rsid w:val="00945428"/>
    <w:rsid w:val="0094607B"/>
    <w:rsid w:val="00953604"/>
    <w:rsid w:val="0095496B"/>
    <w:rsid w:val="009610DC"/>
    <w:rsid w:val="00961490"/>
    <w:rsid w:val="0096381A"/>
    <w:rsid w:val="00965E04"/>
    <w:rsid w:val="009674AD"/>
    <w:rsid w:val="00970CDC"/>
    <w:rsid w:val="00972306"/>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3257"/>
    <w:rsid w:val="009A42C1"/>
    <w:rsid w:val="009A5429"/>
    <w:rsid w:val="009A72AD"/>
    <w:rsid w:val="009B09E0"/>
    <w:rsid w:val="009B0BC5"/>
    <w:rsid w:val="009B1247"/>
    <w:rsid w:val="009B6029"/>
    <w:rsid w:val="009B6971"/>
    <w:rsid w:val="009C27F1"/>
    <w:rsid w:val="009C3152"/>
    <w:rsid w:val="009C4351"/>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7FB2"/>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4F86"/>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1BC2"/>
    <w:rsid w:val="00B4346D"/>
    <w:rsid w:val="00B440F4"/>
    <w:rsid w:val="00B443B0"/>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366"/>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44BDA"/>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1834"/>
    <w:rsid w:val="00F25BB6"/>
    <w:rsid w:val="00F26B7E"/>
    <w:rsid w:val="00F27A3B"/>
    <w:rsid w:val="00F33817"/>
    <w:rsid w:val="00F420D5"/>
    <w:rsid w:val="00F451EA"/>
    <w:rsid w:val="00F45447"/>
    <w:rsid w:val="00F456C6"/>
    <w:rsid w:val="00F4577B"/>
    <w:rsid w:val="00F46496"/>
    <w:rsid w:val="00F474D0"/>
    <w:rsid w:val="00F50179"/>
    <w:rsid w:val="00F50DB7"/>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97E21"/>
    <w:rsid w:val="00FA662D"/>
    <w:rsid w:val="00FA73B1"/>
    <w:rsid w:val="00FB0CB9"/>
    <w:rsid w:val="00FB231D"/>
    <w:rsid w:val="00FB45F1"/>
    <w:rsid w:val="00FB4A72"/>
    <w:rsid w:val="00FB54E8"/>
    <w:rsid w:val="00FB7054"/>
    <w:rsid w:val="00FC17B7"/>
    <w:rsid w:val="00FC2CB7"/>
    <w:rsid w:val="00FC4090"/>
    <w:rsid w:val="00FC55B4"/>
    <w:rsid w:val="00FC5907"/>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B82B0A"/>
    <w:rsid w:val="06FA39FC"/>
    <w:rsid w:val="099A0ACA"/>
    <w:rsid w:val="140B52FC"/>
    <w:rsid w:val="143570B4"/>
    <w:rsid w:val="14590E78"/>
    <w:rsid w:val="180718E4"/>
    <w:rsid w:val="1DF7774C"/>
    <w:rsid w:val="21026F3C"/>
    <w:rsid w:val="21756BFD"/>
    <w:rsid w:val="250F07D0"/>
    <w:rsid w:val="33E25570"/>
    <w:rsid w:val="35C349A4"/>
    <w:rsid w:val="37BD7869"/>
    <w:rsid w:val="38B467FA"/>
    <w:rsid w:val="3EB15E67"/>
    <w:rsid w:val="41A94136"/>
    <w:rsid w:val="44D27937"/>
    <w:rsid w:val="4EF22CB2"/>
    <w:rsid w:val="538F37DC"/>
    <w:rsid w:val="57336354"/>
    <w:rsid w:val="5C035865"/>
    <w:rsid w:val="5FE5647D"/>
    <w:rsid w:val="7AFC6213"/>
    <w:rsid w:val="7F844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ds-markdown-paragraph"/>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jpe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04BD99C5D504E3BBC67F4D9B5F36539"/>
        <w:style w:val=""/>
        <w:category>
          <w:name w:val="常规"/>
          <w:gallery w:val="placeholder"/>
        </w:category>
        <w:types>
          <w:type w:val="bbPlcHdr"/>
        </w:types>
        <w:behaviors>
          <w:behavior w:val="content"/>
        </w:behaviors>
        <w:description w:val=""/>
        <w:guid w:val="{58B18C1A-CCD5-4947-972F-312CF497DDB2}"/>
      </w:docPartPr>
      <w:docPartBody>
        <w:p w14:paraId="7041382D">
          <w:pPr>
            <w:pStyle w:val="5"/>
          </w:pPr>
          <w:r>
            <w:rPr>
              <w:rStyle w:val="4"/>
              <w:rFonts w:hint="eastAsia"/>
            </w:rPr>
            <w:t>单击或点击此处输入文字。</w:t>
          </w:r>
        </w:p>
      </w:docPartBody>
    </w:docPart>
    <w:docPart>
      <w:docPartPr>
        <w:name w:val="11C916B81EF743719225645597D9E414"/>
        <w:style w:val=""/>
        <w:category>
          <w:name w:val="常规"/>
          <w:gallery w:val="placeholder"/>
        </w:category>
        <w:types>
          <w:type w:val="bbPlcHdr"/>
        </w:types>
        <w:behaviors>
          <w:behavior w:val="content"/>
        </w:behaviors>
        <w:description w:val=""/>
        <w:guid w:val="{6566F2BF-3F8B-46A9-94F3-7EA3EBF24059}"/>
      </w:docPartPr>
      <w:docPartBody>
        <w:p w14:paraId="59E6E2AD">
          <w:pPr>
            <w:pStyle w:val="6"/>
          </w:pPr>
          <w:r>
            <w:rPr>
              <w:rStyle w:val="4"/>
              <w:rFonts w:hint="eastAsia"/>
            </w:rPr>
            <w:t>选择一项。</w:t>
          </w:r>
        </w:p>
      </w:docPartBody>
    </w:docPart>
    <w:docPart>
      <w:docPartPr>
        <w:name w:val="68769C5F32A242EA8B2F7368D86450D8"/>
        <w:style w:val=""/>
        <w:category>
          <w:name w:val="常规"/>
          <w:gallery w:val="placeholder"/>
        </w:category>
        <w:types>
          <w:type w:val="bbPlcHdr"/>
        </w:types>
        <w:behaviors>
          <w:behavior w:val="content"/>
        </w:behaviors>
        <w:description w:val=""/>
        <w:guid w:val="{F92EDC04-8CEC-4184-9D55-9BC3B0A7B006}"/>
      </w:docPartPr>
      <w:docPartBody>
        <w:p w14:paraId="380D461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3C7"/>
    <w:rsid w:val="000F4E93"/>
    <w:rsid w:val="001F6B70"/>
    <w:rsid w:val="0026316F"/>
    <w:rsid w:val="005F2875"/>
    <w:rsid w:val="006203C7"/>
    <w:rsid w:val="00D71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04BD99C5D504E3BBC67F4D9B5F365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C916B81EF743719225645597D9E4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8769C5F32A242EA8B2F7368D86450D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51253-FAD8-401E-A0EC-4AB6E3F830DC}">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1357</Words>
  <Characters>1777</Characters>
  <Lines>17</Lines>
  <Paragraphs>5</Paragraphs>
  <TotalTime>295</TotalTime>
  <ScaleCrop>false</ScaleCrop>
  <LinksUpToDate>false</LinksUpToDate>
  <CharactersWithSpaces>1905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2026-01-05T01:47:00Z</dcterms:created>
  <dc:creator>LW</dc:creator>
  <dc:description>&lt;config cover="true" show_menu="true" version="1.0.0" doctype="SDKXY"&gt;_x000d_
&lt;/config&gt;</dc:description>
  <cp:lastModifiedBy>admin</cp:lastModifiedBy>
  <cp:lastPrinted>2020-08-30T10:00:00Z</cp:lastPrinted>
  <dcterms:modified xsi:type="dcterms:W3CDTF">2026-06-05T07:20:15Z</dcterms:modified>
  <dc:title>地方标准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eyJoZGlkIjoiNTIxYmQyOTk2NzYzZjhhZTQ5NzFmOGE3NGMzNzU3ZGYifQ==</vt:lpwstr>
  </property>
  <property fmtid="{D5CDD505-2E9C-101B-9397-08002B2CF9AE}" pid="16" name="KSOProductBuildVer">
    <vt:lpwstr>2052-12.1.0.26375</vt:lpwstr>
  </property>
  <property fmtid="{D5CDD505-2E9C-101B-9397-08002B2CF9AE}" pid="17" name="ICV">
    <vt:lpwstr>EBFDA321BB5142BD869AA1774A35591D_12</vt:lpwstr>
  </property>
</Properties>
</file>