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6F3013">
      <w:pPr>
        <w:keepNext w:val="0"/>
        <w:keepLines w:val="0"/>
        <w:pageBreakBefore w:val="0"/>
        <w:widowControl w:val="0"/>
        <w:kinsoku w:val="0"/>
        <w:wordWrap/>
        <w:overflowPunct w:val="0"/>
        <w:topLinePunct w:val="0"/>
        <w:autoSpaceDE w:val="0"/>
        <w:autoSpaceDN w:val="0"/>
        <w:bidi w:val="0"/>
        <w:adjustRightInd w:val="0"/>
        <w:snapToGrid w:val="0"/>
        <w:spacing w:line="560" w:lineRule="exact"/>
        <w:jc w:val="center"/>
        <w:textAlignment w:val="auto"/>
        <w:rPr>
          <w:rFonts w:hint="eastAsia" w:ascii="方正小标宋简体" w:eastAsia="方正小标宋简体" w:cs="方正小标宋_GBK" w:hAnsiTheme="minorEastAsia"/>
          <w:spacing w:val="-20"/>
          <w:sz w:val="44"/>
          <w:szCs w:val="44"/>
          <w:shd w:val="clear" w:color="auto" w:fill="auto"/>
        </w:rPr>
      </w:pPr>
      <w:r>
        <w:rPr>
          <w:rFonts w:hint="eastAsia" w:ascii="方正小标宋简体" w:eastAsia="方正小标宋简体" w:cs="方正小标宋_GBK" w:hAnsiTheme="minorEastAsia"/>
          <w:spacing w:val="-20"/>
          <w:sz w:val="44"/>
          <w:szCs w:val="44"/>
          <w:shd w:val="clear" w:color="auto" w:fill="auto"/>
          <w:lang w:eastAsia="zh-CN"/>
        </w:rPr>
        <w:t>《</w:t>
      </w:r>
      <w:r>
        <w:rPr>
          <w:rFonts w:hint="eastAsia" w:ascii="方正小标宋简体" w:eastAsia="方正小标宋简体" w:cs="方正小标宋_GBK" w:hAnsiTheme="minorEastAsia"/>
          <w:spacing w:val="-20"/>
          <w:sz w:val="44"/>
          <w:szCs w:val="44"/>
          <w:shd w:val="clear" w:color="auto" w:fill="auto"/>
        </w:rPr>
        <w:t>“蒙”字标</w:t>
      </w:r>
      <w:r>
        <w:rPr>
          <w:rFonts w:hint="eastAsia" w:ascii="方正小标宋简体" w:eastAsia="方正小标宋简体" w:cs="方正小标宋_GBK" w:hAnsiTheme="minorEastAsia"/>
          <w:spacing w:val="-20"/>
          <w:sz w:val="44"/>
          <w:szCs w:val="44"/>
          <w:shd w:val="clear" w:color="auto" w:fill="auto"/>
          <w:lang w:eastAsia="zh-CN"/>
        </w:rPr>
        <w:t>农产品</w:t>
      </w:r>
      <w:r>
        <w:rPr>
          <w:rFonts w:hint="eastAsia" w:ascii="方正小标宋简体" w:eastAsia="方正小标宋简体" w:cs="方正小标宋_GBK" w:hAnsiTheme="minorEastAsia"/>
          <w:spacing w:val="-20"/>
          <w:sz w:val="44"/>
          <w:szCs w:val="44"/>
          <w:shd w:val="clear" w:color="auto" w:fill="auto"/>
        </w:rPr>
        <w:t>认证要求 鄂尔多斯糜米</w:t>
      </w:r>
      <w:r>
        <w:rPr>
          <w:rFonts w:hint="eastAsia" w:ascii="方正小标宋简体" w:eastAsia="方正小标宋简体" w:cs="方正小标宋_GBK" w:hAnsiTheme="minorEastAsia"/>
          <w:spacing w:val="-20"/>
          <w:sz w:val="44"/>
          <w:szCs w:val="44"/>
          <w:shd w:val="clear" w:color="auto" w:fill="auto"/>
          <w:lang w:eastAsia="zh-CN"/>
        </w:rPr>
        <w:t>》</w:t>
      </w:r>
    </w:p>
    <w:p w14:paraId="0E2B7DF7">
      <w:pPr>
        <w:keepNext w:val="0"/>
        <w:keepLines w:val="0"/>
        <w:pageBreakBefore w:val="0"/>
        <w:widowControl w:val="0"/>
        <w:kinsoku w:val="0"/>
        <w:wordWrap/>
        <w:overflowPunct w:val="0"/>
        <w:topLinePunct w:val="0"/>
        <w:autoSpaceDE w:val="0"/>
        <w:autoSpaceDN w:val="0"/>
        <w:bidi w:val="0"/>
        <w:spacing w:line="560" w:lineRule="exact"/>
        <w:jc w:val="center"/>
        <w:textAlignment w:val="auto"/>
        <w:rPr>
          <w:rFonts w:hint="eastAsia" w:ascii="方正小标宋简体" w:eastAsia="方正小标宋简体" w:cs="方正小标宋_GBK" w:hAnsiTheme="minorEastAsia"/>
          <w:spacing w:val="-20"/>
          <w:sz w:val="44"/>
          <w:szCs w:val="44"/>
        </w:rPr>
      </w:pPr>
      <w:r>
        <w:rPr>
          <w:rFonts w:hint="eastAsia" w:ascii="方正小标宋简体" w:eastAsia="方正小标宋简体" w:cs="方正小标宋_GBK" w:hAnsiTheme="minorEastAsia"/>
          <w:spacing w:val="-20"/>
          <w:sz w:val="44"/>
          <w:szCs w:val="44"/>
        </w:rPr>
        <w:t>编制说明</w:t>
      </w:r>
    </w:p>
    <w:p w14:paraId="7236979D">
      <w:pPr>
        <w:keepNext w:val="0"/>
        <w:keepLines w:val="0"/>
        <w:pageBreakBefore w:val="0"/>
        <w:widowControl w:val="0"/>
        <w:kinsoku w:val="0"/>
        <w:wordWrap/>
        <w:overflowPunct w:val="0"/>
        <w:topLinePunct w:val="0"/>
        <w:autoSpaceDE w:val="0"/>
        <w:autoSpaceDN w:val="0"/>
        <w:bidi w:val="0"/>
        <w:spacing w:line="560" w:lineRule="exact"/>
        <w:jc w:val="center"/>
        <w:textAlignment w:val="auto"/>
        <w:rPr>
          <w:rFonts w:hint="eastAsia" w:ascii="方正小标宋简体" w:eastAsia="方正小标宋简体" w:cs="方正小标宋_GBK" w:hAnsiTheme="minorEastAsia"/>
          <w:sz w:val="44"/>
          <w:szCs w:val="44"/>
        </w:rPr>
      </w:pPr>
    </w:p>
    <w:p w14:paraId="65C1D96C">
      <w:pPr>
        <w:pStyle w:val="2"/>
        <w:keepNext w:val="0"/>
        <w:keepLines w:val="0"/>
        <w:pageBreakBefore w:val="0"/>
        <w:widowControl w:val="0"/>
        <w:numPr>
          <w:ilvl w:val="0"/>
          <w:numId w:val="1"/>
        </w:numPr>
        <w:kinsoku w:val="0"/>
        <w:wordWrap/>
        <w:overflowPunct w:val="0"/>
        <w:topLinePunct w:val="0"/>
        <w:autoSpaceDE w:val="0"/>
        <w:autoSpaceDN w:val="0"/>
        <w:bidi w:val="0"/>
        <w:spacing w:before="0" w:after="0" w:line="560" w:lineRule="exact"/>
        <w:ind w:firstLine="640" w:firstLineChars="200"/>
        <w:textAlignment w:val="auto"/>
        <w:rPr>
          <w:lang w:val="en"/>
        </w:rPr>
      </w:pPr>
      <w:r>
        <w:rPr>
          <w:rFonts w:hint="eastAsia"/>
          <w:lang w:val="en"/>
        </w:rPr>
        <w:t>工作简况</w:t>
      </w:r>
    </w:p>
    <w:p w14:paraId="25ACAC9F">
      <w:pPr>
        <w:pStyle w:val="3"/>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rPr>
          <w:rFonts w:cs="楷体_GB2312"/>
        </w:rPr>
      </w:pPr>
      <w:r>
        <w:rPr>
          <w:rFonts w:hint="eastAsia" w:cs="楷体_GB2312"/>
        </w:rPr>
        <w:t>1、任务来源</w:t>
      </w:r>
    </w:p>
    <w:p w14:paraId="198ABC90">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pPr>
      <w:r>
        <w:rPr>
          <w:rFonts w:hint="eastAsia" w:ascii="仿宋_GB2312"/>
          <w:szCs w:val="32"/>
        </w:rPr>
        <w:t>根据自治区市场监管局开展的《2</w:t>
      </w:r>
      <w:r>
        <w:rPr>
          <w:rFonts w:ascii="仿宋_GB2312"/>
          <w:szCs w:val="32"/>
        </w:rPr>
        <w:t>8</w:t>
      </w:r>
      <w:r>
        <w:rPr>
          <w:rFonts w:hint="eastAsia" w:ascii="仿宋_GB2312"/>
          <w:szCs w:val="32"/>
        </w:rPr>
        <w:t>项“蒙”字标认证产品团体标准及2项“蒙”字标标准</w:t>
      </w:r>
      <w:r>
        <w:rPr>
          <w:rFonts w:ascii="仿宋_GB2312"/>
          <w:szCs w:val="32"/>
        </w:rPr>
        <w:t>体系</w:t>
      </w:r>
      <w:r>
        <w:rPr>
          <w:rFonts w:hint="eastAsia" w:ascii="仿宋_GB2312"/>
          <w:szCs w:val="32"/>
        </w:rPr>
        <w:t>研制</w:t>
      </w:r>
      <w:r>
        <w:rPr>
          <w:rFonts w:ascii="仿宋_GB2312"/>
          <w:szCs w:val="32"/>
        </w:rPr>
        <w:t>项目</w:t>
      </w:r>
      <w:r>
        <w:rPr>
          <w:rFonts w:hint="eastAsia" w:ascii="仿宋_GB2312"/>
          <w:szCs w:val="32"/>
        </w:rPr>
        <w:t>》的要求</w:t>
      </w:r>
      <w:r>
        <w:rPr>
          <w:rFonts w:hint="eastAsia"/>
        </w:rPr>
        <w:t>，由内蒙古质量和标准化研究院负责对《“蒙”字标</w:t>
      </w:r>
      <w:r>
        <w:rPr>
          <w:rFonts w:hint="eastAsia"/>
          <w:lang w:eastAsia="zh-CN"/>
        </w:rPr>
        <w:t>农产品</w:t>
      </w:r>
      <w:r>
        <w:rPr>
          <w:rFonts w:hint="eastAsia"/>
        </w:rPr>
        <w:t>认证要求 鄂尔多斯糜米》进行起草。</w:t>
      </w:r>
    </w:p>
    <w:p w14:paraId="272DA532">
      <w:pPr>
        <w:pStyle w:val="3"/>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rPr>
          <w:rFonts w:cs="楷体_GB2312"/>
        </w:rPr>
      </w:pPr>
      <w:r>
        <w:rPr>
          <w:rFonts w:hint="eastAsia" w:cs="楷体_GB2312"/>
        </w:rPr>
        <w:t>2、制定背景</w:t>
      </w:r>
    </w:p>
    <w:p w14:paraId="73ED7CA7">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rPr>
          <w:rFonts w:ascii="仿宋_GB2312" w:hAnsi="仿宋_GB2312" w:cs="仿宋_GB2312"/>
        </w:rPr>
      </w:pPr>
      <w:r>
        <w:rPr>
          <w:rFonts w:hint="eastAsia"/>
        </w:rPr>
        <w:t>鄂尔多斯糜米，这颗源自黄土高原与鄂尔多斯高原接壤之地的金色颗粒，绝非普通的谷物。它是一部活态的地方志，承载着两千余年的农耕记忆、独特的地理密码、世代相传的生活智慧，并在当代科技与市场的催化下，正焕发出前所未有的产业生机。其背景的深厚，根植于历史、自然、人文与创新的多维交响之中。糜米在鄂尔多斯的种植史，可追溯至汉代甚至更早。当地曾设“美稷城”，而“稷”正是糜子的古称，足见其与这片土地的古老渊源。在漫长岁月里，糜米因其耐旱、耐瘠薄的特性，成为北方地区，尤其是干旱环境下人们赖以生存的主食。它不仅是果腹的粮食，更深深融入当地的生活习俗与情感记忆。一代代</w:t>
      </w:r>
      <w:r>
        <w:rPr>
          <w:rFonts w:hint="eastAsia"/>
          <w:lang w:eastAsia="zh-CN"/>
        </w:rPr>
        <w:t>鄂尔多斯</w:t>
      </w:r>
      <w:r>
        <w:rPr>
          <w:rFonts w:hint="eastAsia"/>
        </w:rPr>
        <w:t>人依靠糜米，创造出了酸粥、酸饭、米凉粉等一系列特色美食，形成了独</w:t>
      </w:r>
      <w:r>
        <w:rPr>
          <w:rFonts w:hint="eastAsia" w:ascii="仿宋_GB2312" w:hAnsi="仿宋_GB2312" w:cs="仿宋_GB2312"/>
        </w:rPr>
        <w:t>特的饮食文化。这份金黄的食物，滋养了朴实、憨厚的当地人，也成为了游子心中关于家乡与童年最温暖的回忆符号。</w:t>
      </w:r>
    </w:p>
    <w:p w14:paraId="0C6464B3">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自1960年起，鄂尔多斯市农牧业科学研究院便开始了系统性的糜子育种工作，六十余年来已成功培育出26个新品种。近年选育的“伊糜5号”、“伊糜11号”、“伊糜16号”等品种，不仅在抗旱</w:t>
      </w:r>
      <w:r>
        <w:rPr>
          <w:rFonts w:hint="eastAsia"/>
        </w:rPr>
        <w:t>性、产量上显著提升，更在食味品质上实现了优化，满足了市场对“好吃”的需求。产学研深度融合的“内蒙古准格尔杂粮科技小院”等平台，正聚焦专用品种选育与关键技术突破。定期举办的黄米适口性鉴评会，邀请科研专家、企业、农户对众多品种进行盲品打分，从色泽、适口性、回生度等多维度进行严苛考评。这种以市场与专业为导向的品鉴机制，为品种推广和品质标准化提供了科学依据。因此，编写《“蒙”字标</w:t>
      </w:r>
      <w:r>
        <w:rPr>
          <w:rFonts w:hint="eastAsia"/>
          <w:lang w:eastAsia="zh-CN"/>
        </w:rPr>
        <w:t>农产品</w:t>
      </w:r>
      <w:r>
        <w:rPr>
          <w:rFonts w:hint="eastAsia"/>
        </w:rPr>
        <w:t>认证要求 鄂尔多斯糜米》的工作，是一种历经时间沉淀的文化味觉与集体认同。</w:t>
      </w:r>
    </w:p>
    <w:p w14:paraId="069BB86F">
      <w:pPr>
        <w:pStyle w:val="3"/>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pPr>
      <w:r>
        <w:rPr>
          <w:rFonts w:hint="eastAsia"/>
        </w:rPr>
        <w:t>3、提出单位、归口单位、起草单位及起草人</w:t>
      </w:r>
    </w:p>
    <w:p w14:paraId="01288899">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提出单位：内蒙古标准发展促进会。</w:t>
      </w:r>
    </w:p>
    <w:p w14:paraId="722D45C2">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归口单位：内蒙古标准发展促进会。</w:t>
      </w:r>
    </w:p>
    <w:p w14:paraId="01C96599">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起草单位：内蒙古自治区质量和标准化研究院</w:t>
      </w:r>
    </w:p>
    <w:p w14:paraId="19E70060">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起草人：。</w:t>
      </w:r>
    </w:p>
    <w:p w14:paraId="51674269">
      <w:pPr>
        <w:keepNext w:val="0"/>
        <w:keepLines w:val="0"/>
        <w:pageBreakBefore w:val="0"/>
        <w:widowControl w:val="0"/>
        <w:kinsoku w:val="0"/>
        <w:wordWrap/>
        <w:overflowPunct w:val="0"/>
        <w:topLinePunct w:val="0"/>
        <w:autoSpaceDE w:val="0"/>
        <w:autoSpaceDN w:val="0"/>
        <w:bidi w:val="0"/>
        <w:adjustRightInd/>
        <w:snapToGrid/>
        <w:spacing w:line="560" w:lineRule="exact"/>
        <w:ind w:firstLine="640" w:firstLineChars="200"/>
        <w:textAlignment w:val="auto"/>
        <w:outlineLvl w:val="0"/>
        <w:rPr>
          <w:rFonts w:ascii="Calibri" w:hAnsi="Calibri" w:eastAsia="黑体"/>
          <w:kern w:val="44"/>
        </w:rPr>
      </w:pPr>
      <w:r>
        <w:rPr>
          <w:rFonts w:hint="eastAsia" w:ascii="Calibri" w:hAnsi="Calibri" w:eastAsia="黑体"/>
          <w:kern w:val="44"/>
        </w:rPr>
        <w:t>二、标准制定的目的和意义</w:t>
      </w:r>
    </w:p>
    <w:p w14:paraId="17AC9199">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鄂尔多斯糜米，承载着两千年的农耕文明，依托独特的风土条件，经由世代相传的民间智慧点化，并在现代科技与市场的激荡中焕发新生。然而，当这一古老的“金色遗产”迈入产业化、品牌化发展的快车道时，从田间到餐桌的各个环节，都呼唤着更为明确、统一、先进的品质与技术指引。制定《“蒙”字标认证要求 鄂尔多斯糜米》标准，正是回应这一时代需求的战略性举措。它并非对传统的人为束缚，而是基于深厚产业背景，为保障品质、提升价值、促进可持续发展而凝聚的行业共识与行动纲领。</w:t>
      </w:r>
    </w:p>
    <w:p w14:paraId="312CF531">
      <w:pPr>
        <w:pStyle w:val="3"/>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rPr>
          <w:rFonts w:cs="楷体_GB2312"/>
        </w:rPr>
      </w:pPr>
      <w:r>
        <w:rPr>
          <w:rFonts w:hint="eastAsia" w:cs="楷体_GB2312"/>
        </w:rPr>
        <w:t>（一）制定目的：破解发展瓶颈，引领产业升级</w:t>
      </w:r>
    </w:p>
    <w:p w14:paraId="059EF94E">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《“蒙”字标</w:t>
      </w:r>
      <w:r>
        <w:rPr>
          <w:rFonts w:hint="eastAsia"/>
          <w:lang w:eastAsia="zh-CN"/>
        </w:rPr>
        <w:t>农产品</w:t>
      </w:r>
      <w:r>
        <w:rPr>
          <w:rFonts w:hint="eastAsia"/>
        </w:rPr>
        <w:t>认证要求 鄂尔多斯糜米》标准的制定，首先源于解决鄂尔多斯糜米产业当前面临的具体问题与明确的发展导向需求。</w:t>
      </w:r>
    </w:p>
    <w:p w14:paraId="44CD706F">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1、</w:t>
      </w:r>
      <w:r>
        <w:rPr>
          <w:rFonts w:hint="eastAsia"/>
        </w:rPr>
        <w:t>统一品质定义，终结市场乱象</w:t>
      </w:r>
    </w:p>
    <w:p w14:paraId="3E196B34">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鄂尔多斯糜米在市场流通中，不同企业、不同农户对“优质糜米”的理解与产出标准仍存在差异。产品在色泽、颗粒完整度、食味口感（如酸饭的适口性、回生度）等方面参差不齐，导致消费者认知模糊，甚至可能出现以次充好、损害区域品牌形象的现象。标准的首要目的，便是建立一套被行业广泛认可的、可量化检测的品质基准线，明确规定糜米的感官指标、理化指标和食味评价方法，让“好糜米”有据可依，净化市场环境。</w:t>
      </w:r>
    </w:p>
    <w:p w14:paraId="521B5C7F">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2、</w:t>
      </w:r>
      <w:r>
        <w:rPr>
          <w:rFonts w:hint="eastAsia"/>
        </w:rPr>
        <w:t>固化传统精髓，实现技艺传承的标准化</w:t>
      </w:r>
    </w:p>
    <w:p w14:paraId="50E7A491">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以“浆米”为核心的特色加工工艺，是鄂尔多斯糜米风味的灵魂。然而，这项依赖经验与“老浆”的传统技艺，在规模化生产和年轻一代传承中面临挑战。标准的目的是将其中关键的控制点（如发酵温度、时间、酸度范围）进行科学提炼与参数化，将“手艺”转化为“可复制、可管控的工艺”，确保传统风味的稳定传承，同时为现代化加工提供技术依据，避免技艺在产业扩张中失真或流失。</w:t>
      </w:r>
    </w:p>
    <w:p w14:paraId="26B57281">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3、</w:t>
      </w:r>
      <w:r>
        <w:rPr>
          <w:rFonts w:hint="eastAsia"/>
        </w:rPr>
        <w:t>衔接科研成果，加速良种良法落地</w:t>
      </w:r>
    </w:p>
    <w:p w14:paraId="3BDE6530">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鄂尔多斯市农牧业科学研究院已培育出多个食味与产量俱佳的新品种（如伊糜系列），并通过“黄米适口性鉴评会”等机制进行评价。团体标准的目的之一，是建立品种品质与终端产品标准的直接关联。通过将优选品种的典型特征纳入标准，可以引导农户种植符合市场高端需求的品种，实现“种得好”向“卖得好”的价值传导，使科研成果更快、更有效地转化为产业竞争力。</w:t>
      </w:r>
    </w:p>
    <w:p w14:paraId="1D46C9E4">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4、规</w:t>
      </w:r>
      <w:r>
        <w:rPr>
          <w:rFonts w:hint="eastAsia"/>
        </w:rPr>
        <w:t>范全产业链，保障食品安全与可追溯</w:t>
      </w:r>
    </w:p>
    <w:p w14:paraId="755C483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从种植、收获、储存、加工到包装，每个环节都可能影响最终产品的安全与品质。团体标准的目的是制定覆盖全产业链的操作规范与管理要求，包括对农药残留、重金属等安全指标的严格控制，以及对生产环境、工艺流程的标准化规定。这有助于构建从田间到餐桌的质量安全控制体系，提升消费者信任度，并为产品追溯提供基础。</w:t>
      </w:r>
    </w:p>
    <w:p w14:paraId="685B155F">
      <w:pPr>
        <w:pStyle w:val="3"/>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rPr>
          <w:rFonts w:cs="楷体_GB2312"/>
        </w:rPr>
      </w:pPr>
      <w:r>
        <w:rPr>
          <w:rFonts w:hint="eastAsia" w:cs="楷体_GB2312"/>
        </w:rPr>
        <w:t>（二）核心意义：铸就产业基石，赋能长远发展</w:t>
      </w:r>
    </w:p>
    <w:p w14:paraId="58B51EF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制定并实施《“蒙”字标</w:t>
      </w:r>
      <w:r>
        <w:rPr>
          <w:rFonts w:hint="eastAsia"/>
          <w:lang w:eastAsia="zh-CN"/>
        </w:rPr>
        <w:t>农产品</w:t>
      </w:r>
      <w:r>
        <w:rPr>
          <w:rFonts w:hint="eastAsia"/>
        </w:rPr>
        <w:t>认证要求 鄂尔多斯糜米》标准，其意义远超解决当下问题，更在于为产业的长远、高质量发展注入持久动力。</w:t>
      </w:r>
    </w:p>
    <w:p w14:paraId="2194EF6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1、</w:t>
      </w:r>
      <w:r>
        <w:rPr>
          <w:rFonts w:hint="eastAsia"/>
        </w:rPr>
        <w:t>提升整体竞争力与协同效率</w:t>
      </w:r>
    </w:p>
    <w:p w14:paraId="7143C9E5">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标准的制定过程本身就是行业协会、龙头企业、合作社、农户及科研单位多方协商、求同存异的过程。这有助于形成统一的产业发展观，减少内耗，凝聚发展合力。统一的品质和检测标准，使得买卖双方有共同的评价语言，简化交易流程，减少因标准不一产生的纠纷，提升产业链协同效率。通过设定高于国家通用标准的、体现地方特色的技术要求，构建起品牌的技术壁垒和品质护城河，防止公共品牌被滥用或稀释。</w:t>
      </w:r>
    </w:p>
    <w:p w14:paraId="658171C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2、</w:t>
      </w:r>
      <w:r>
        <w:rPr>
          <w:rFonts w:hint="eastAsia"/>
        </w:rPr>
        <w:t>明确价值承诺与增强消费信心</w:t>
      </w:r>
    </w:p>
    <w:p w14:paraId="1194B6C9">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带有认证标准标识的产品，向消费者传递了“该产品符合行业认可的更高品质要求”的明确信号，助力优质优价的实现，引导消费升级。标准确保了产品风味的一致性和安全性，让消费者无论何时何地购买，都能获得预期的、安全的品质体验，增强消费者忠诚度和复购率。</w:t>
      </w:r>
    </w:p>
    <w:p w14:paraId="244B3DF6">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3、</w:t>
      </w:r>
      <w:r>
        <w:rPr>
          <w:rFonts w:hint="eastAsia"/>
        </w:rPr>
        <w:t>对区域经济与社会：驱动乡村振兴与文化传承</w:t>
      </w:r>
    </w:p>
    <w:p w14:paraId="6C74EB2E">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通过标准引导种植优质品种、实施规范生产，可以稳定并提升糜米原料的品质和收购价。同时，标准化加工带来的附加值提升，能通过“企业+合作社+农户”等模式更合理地反哺生产者，巩固脱贫攻坚成果，助力乡村振兴。将传统技艺的核心要素纳入标准，是对非物质文化遗产的一种创新性保护与传承方式。它让古老智慧在现代化生产中得以延续和发扬，使文化传承与经济发展相得益彰。</w:t>
      </w:r>
    </w:p>
    <w:p w14:paraId="1ABF47E2">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rPr>
        <w:t>4、探</w:t>
      </w:r>
      <w:r>
        <w:rPr>
          <w:rFonts w:hint="eastAsia"/>
        </w:rPr>
        <w:t>索特色农业现代化路径</w:t>
      </w:r>
    </w:p>
    <w:p w14:paraId="52BB9581">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rPr>
        <w:t>标准是市场主导、政府引导、社会参与的新型标准体系的重要组成部分。它的制定与实施，体现了行业自我管理、自我约束能力的提升，是行业治理现代化的重要标志。标准并非一成不变。随着品种改良、工艺进步和消费需求变化，标准可以快速响应并进行修订。这种灵活性能够持续引领产业技术创新和产品升级，保持鄂尔多斯糜米产业的活力与先进性。</w:t>
      </w:r>
    </w:p>
    <w:p w14:paraId="454060F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outlineLvl w:val="0"/>
        <w:rPr>
          <w:rFonts w:ascii="Calibri" w:hAnsi="Calibri" w:eastAsia="黑体"/>
          <w:kern w:val="44"/>
        </w:rPr>
      </w:pPr>
      <w:r>
        <w:rPr>
          <w:rFonts w:hint="eastAsia" w:ascii="Calibri" w:hAnsi="Calibri" w:eastAsia="黑体"/>
          <w:kern w:val="44"/>
        </w:rPr>
        <w:t>三、标准编制过程‌</w:t>
      </w:r>
    </w:p>
    <w:p w14:paraId="2AC87062">
      <w:pPr>
        <w:pStyle w:val="3"/>
        <w:keepNext w:val="0"/>
        <w:keepLines w:val="0"/>
        <w:pageBreakBefore w:val="0"/>
        <w:widowControl w:val="0"/>
        <w:kinsoku w:val="0"/>
        <w:wordWrap/>
        <w:overflowPunct w:val="0"/>
        <w:topLinePunct w:val="0"/>
        <w:autoSpaceDE w:val="0"/>
        <w:autoSpaceDN w:val="0"/>
        <w:bidi w:val="0"/>
        <w:adjustRightInd/>
        <w:snapToGrid/>
        <w:spacing w:before="0" w:after="0" w:line="560" w:lineRule="exact"/>
        <w:ind w:firstLine="640" w:firstLineChars="200"/>
        <w:textAlignment w:val="auto"/>
      </w:pPr>
      <w:r>
        <w:rPr>
          <w:rFonts w:hint="eastAsia"/>
        </w:rPr>
        <w:t>1、</w:t>
      </w:r>
      <w:r>
        <w:t>第</w:t>
      </w:r>
      <w:r>
        <w:rPr>
          <w:rFonts w:hint="eastAsia"/>
        </w:rPr>
        <w:t>一</w:t>
      </w:r>
      <w:r>
        <w:t>阶段（202</w:t>
      </w:r>
      <w:r>
        <w:rPr>
          <w:rFonts w:hint="eastAsia"/>
        </w:rPr>
        <w:t>6</w:t>
      </w:r>
      <w:r>
        <w:t>年1月）：申报标准立项。</w:t>
      </w:r>
    </w:p>
    <w:p w14:paraId="596CD034">
      <w:pPr>
        <w:keepNext w:val="0"/>
        <w:keepLines w:val="0"/>
        <w:pageBreakBefore w:val="0"/>
        <w:widowControl w:val="0"/>
        <w:kinsoku w:val="0"/>
        <w:wordWrap/>
        <w:overflowPunct w:val="0"/>
        <w:topLinePunct w:val="0"/>
        <w:autoSpaceDE w:val="0"/>
        <w:autoSpaceDN w:val="0"/>
        <w:bidi w:val="0"/>
        <w:adjustRightInd/>
        <w:snapToGrid/>
        <w:spacing w:line="560" w:lineRule="exact"/>
        <w:ind w:firstLine="739" w:firstLineChars="231"/>
        <w:textAlignment w:val="auto"/>
      </w:pPr>
      <w:r>
        <w:t>依据技术现状和数据资料，确定</w:t>
      </w:r>
      <w:r>
        <w:rPr>
          <w:rFonts w:hint="eastAsia"/>
        </w:rPr>
        <w:t>《“蒙”字标</w:t>
      </w:r>
      <w:r>
        <w:rPr>
          <w:rFonts w:hint="eastAsia"/>
          <w:lang w:eastAsia="zh-CN"/>
        </w:rPr>
        <w:t>农产品</w:t>
      </w:r>
      <w:r>
        <w:rPr>
          <w:rFonts w:hint="eastAsia"/>
        </w:rPr>
        <w:t>认证要求 鄂尔多斯糜米》认证</w:t>
      </w:r>
      <w:r>
        <w:t>内容，形成</w:t>
      </w:r>
      <w:r>
        <w:rPr>
          <w:rFonts w:hint="eastAsia"/>
        </w:rPr>
        <w:t>《“蒙”字标</w:t>
      </w:r>
      <w:r>
        <w:rPr>
          <w:rFonts w:hint="eastAsia"/>
          <w:lang w:eastAsia="zh-CN"/>
        </w:rPr>
        <w:t>农产品</w:t>
      </w:r>
      <w:r>
        <w:rPr>
          <w:rFonts w:hint="eastAsia"/>
        </w:rPr>
        <w:t>认证要求 鄂尔多斯糜米》</w:t>
      </w:r>
      <w:r>
        <w:t>标准草案</w:t>
      </w:r>
      <w:r>
        <w:rPr>
          <w:rFonts w:hint="eastAsia"/>
        </w:rPr>
        <w:t>、编制说明、标准立项建议书</w:t>
      </w:r>
      <w:r>
        <w:t>开展标准申报立项工作。</w:t>
      </w:r>
    </w:p>
    <w:p w14:paraId="23BBE0BF">
      <w:pPr>
        <w:keepNext w:val="0"/>
        <w:keepLines w:val="0"/>
        <w:pageBreakBefore w:val="0"/>
        <w:widowControl w:val="0"/>
        <w:kinsoku w:val="0"/>
        <w:wordWrap/>
        <w:overflowPunct w:val="0"/>
        <w:topLinePunct w:val="0"/>
        <w:autoSpaceDE w:val="0"/>
        <w:autoSpaceDN w:val="0"/>
        <w:bidi w:val="0"/>
        <w:adjustRightInd/>
        <w:snapToGrid/>
        <w:spacing w:line="560" w:lineRule="exact"/>
        <w:ind w:left="640"/>
        <w:textAlignment w:val="auto"/>
        <w:outlineLvl w:val="1"/>
        <w:rPr>
          <w:rFonts w:ascii="Arial" w:hAnsi="Arial" w:eastAsia="楷体_GB2312"/>
        </w:rPr>
      </w:pPr>
      <w:r>
        <w:rPr>
          <w:rFonts w:hint="eastAsia" w:ascii="Arial" w:hAnsi="Arial" w:eastAsia="楷体_GB2312"/>
        </w:rPr>
        <w:t>2、</w:t>
      </w:r>
      <w:r>
        <w:rPr>
          <w:rFonts w:ascii="Arial" w:hAnsi="Arial" w:eastAsia="楷体_GB2312"/>
        </w:rPr>
        <w:t>第</w:t>
      </w:r>
      <w:r>
        <w:rPr>
          <w:rFonts w:hint="eastAsia" w:ascii="Arial" w:hAnsi="Arial" w:eastAsia="楷体_GB2312"/>
        </w:rPr>
        <w:t>二</w:t>
      </w:r>
      <w:r>
        <w:rPr>
          <w:rFonts w:ascii="Arial" w:hAnsi="Arial" w:eastAsia="楷体_GB2312"/>
        </w:rPr>
        <w:t>阶段（202</w:t>
      </w:r>
      <w:r>
        <w:rPr>
          <w:rFonts w:hint="eastAsia" w:ascii="Arial" w:hAnsi="Arial" w:eastAsia="楷体_GB2312"/>
        </w:rPr>
        <w:t>6</w:t>
      </w:r>
      <w:r>
        <w:rPr>
          <w:rFonts w:ascii="Arial" w:hAnsi="Arial" w:eastAsia="楷体_GB2312"/>
        </w:rPr>
        <w:t>年</w:t>
      </w:r>
      <w:r>
        <w:rPr>
          <w:rFonts w:hint="eastAsia" w:ascii="Arial" w:hAnsi="Arial" w:eastAsia="楷体_GB2312"/>
        </w:rPr>
        <w:t>2</w:t>
      </w:r>
      <w:r>
        <w:rPr>
          <w:rFonts w:ascii="Arial" w:hAnsi="Arial" w:eastAsia="楷体_GB2312"/>
        </w:rPr>
        <w:t>月—202</w:t>
      </w:r>
      <w:r>
        <w:rPr>
          <w:rFonts w:hint="eastAsia" w:ascii="Arial" w:hAnsi="Arial" w:eastAsia="楷体_GB2312"/>
        </w:rPr>
        <w:t>6</w:t>
      </w:r>
      <w:r>
        <w:rPr>
          <w:rFonts w:ascii="Arial" w:hAnsi="Arial" w:eastAsia="楷体_GB2312"/>
        </w:rPr>
        <w:t>年</w:t>
      </w:r>
      <w:r>
        <w:rPr>
          <w:rFonts w:hint="eastAsia" w:ascii="Arial" w:hAnsi="Arial" w:eastAsia="楷体_GB2312"/>
        </w:rPr>
        <w:t>5</w:t>
      </w:r>
      <w:r>
        <w:rPr>
          <w:rFonts w:ascii="Arial" w:hAnsi="Arial" w:eastAsia="楷体_GB2312"/>
        </w:rPr>
        <w:t>月）：</w:t>
      </w:r>
      <w:r>
        <w:rPr>
          <w:rFonts w:hint="eastAsia" w:ascii="Arial" w:hAnsi="Arial" w:eastAsia="楷体_GB2312"/>
        </w:rPr>
        <w:t>材料收集</w:t>
      </w:r>
      <w:r>
        <w:rPr>
          <w:rFonts w:ascii="Arial" w:hAnsi="Arial" w:eastAsia="楷体_GB2312"/>
        </w:rPr>
        <w:t>。</w:t>
      </w:r>
    </w:p>
    <w:p w14:paraId="105460C4">
      <w:pPr>
        <w:keepNext w:val="0"/>
        <w:keepLines w:val="0"/>
        <w:pageBreakBefore w:val="0"/>
        <w:widowControl w:val="0"/>
        <w:kinsoku w:val="0"/>
        <w:wordWrap/>
        <w:overflowPunct w:val="0"/>
        <w:topLinePunct w:val="0"/>
        <w:autoSpaceDE w:val="0"/>
        <w:autoSpaceDN w:val="0"/>
        <w:bidi w:val="0"/>
        <w:adjustRightInd/>
        <w:snapToGrid/>
        <w:spacing w:line="560" w:lineRule="exact"/>
        <w:ind w:firstLine="739" w:firstLineChars="231"/>
        <w:textAlignment w:val="auto"/>
      </w:pPr>
      <w:r>
        <w:t>通过搜集、鉴别、整理相关政策、法律法规和文献，全面地、准确地了解</w:t>
      </w:r>
      <w:r>
        <w:rPr>
          <w:rFonts w:hint="eastAsia"/>
        </w:rPr>
        <w:t>鄂尔多斯糜米</w:t>
      </w:r>
      <w:r>
        <w:t>现状，明确研究目标和制定研究方案。根据前期制定的研究目标和方案，通过实地考察、座谈研讨等多种方式和途径，深入了解</w:t>
      </w:r>
      <w:r>
        <w:rPr>
          <w:rFonts w:hint="eastAsia"/>
        </w:rPr>
        <w:t>鄂尔多斯糜米</w:t>
      </w:r>
      <w:r>
        <w:t>的</w:t>
      </w:r>
      <w:r>
        <w:rPr>
          <w:rFonts w:hint="eastAsia"/>
          <w:lang w:eastAsia="zh-CN"/>
        </w:rPr>
        <w:t>种植、加工、销售等</w:t>
      </w:r>
      <w:r>
        <w:t>相关内容。</w:t>
      </w:r>
    </w:p>
    <w:p w14:paraId="38E54B0E">
      <w:pPr>
        <w:keepNext w:val="0"/>
        <w:keepLines w:val="0"/>
        <w:pageBreakBefore w:val="0"/>
        <w:widowControl w:val="0"/>
        <w:kinsoku w:val="0"/>
        <w:wordWrap/>
        <w:overflowPunct w:val="0"/>
        <w:topLinePunct w:val="0"/>
        <w:autoSpaceDE w:val="0"/>
        <w:autoSpaceDN w:val="0"/>
        <w:bidi w:val="0"/>
        <w:adjustRightInd/>
        <w:snapToGrid/>
        <w:spacing w:line="560" w:lineRule="exact"/>
        <w:ind w:firstLine="640" w:firstLineChars="200"/>
        <w:textAlignment w:val="auto"/>
        <w:outlineLvl w:val="1"/>
        <w:rPr>
          <w:rFonts w:ascii="Arial" w:hAnsi="Arial" w:eastAsia="楷体_GB2312"/>
        </w:rPr>
      </w:pPr>
      <w:r>
        <w:rPr>
          <w:rFonts w:hint="eastAsia" w:ascii="Arial" w:hAnsi="Arial" w:eastAsia="楷体_GB2312"/>
        </w:rPr>
        <w:t>3、</w:t>
      </w:r>
      <w:r>
        <w:rPr>
          <w:rFonts w:ascii="Arial" w:hAnsi="Arial" w:eastAsia="楷体_GB2312"/>
        </w:rPr>
        <w:t>第</w:t>
      </w:r>
      <w:r>
        <w:rPr>
          <w:rFonts w:hint="eastAsia" w:ascii="Arial" w:hAnsi="Arial" w:eastAsia="楷体_GB2312"/>
        </w:rPr>
        <w:t>三</w:t>
      </w:r>
      <w:r>
        <w:rPr>
          <w:rFonts w:ascii="Arial" w:hAnsi="Arial" w:eastAsia="楷体_GB2312"/>
        </w:rPr>
        <w:t>阶段（202</w:t>
      </w:r>
      <w:r>
        <w:rPr>
          <w:rFonts w:hint="eastAsia" w:ascii="Arial" w:hAnsi="Arial" w:eastAsia="楷体_GB2312"/>
        </w:rPr>
        <w:t>6</w:t>
      </w:r>
      <w:r>
        <w:rPr>
          <w:rFonts w:ascii="Arial" w:hAnsi="Arial" w:eastAsia="楷体_GB2312"/>
        </w:rPr>
        <w:t>年</w:t>
      </w:r>
      <w:r>
        <w:rPr>
          <w:rFonts w:hint="eastAsia" w:ascii="Arial" w:hAnsi="Arial" w:eastAsia="楷体_GB2312"/>
        </w:rPr>
        <w:t>6</w:t>
      </w:r>
      <w:r>
        <w:rPr>
          <w:rFonts w:ascii="Arial" w:hAnsi="Arial" w:eastAsia="楷体_GB2312"/>
        </w:rPr>
        <w:t>月—202</w:t>
      </w:r>
      <w:r>
        <w:rPr>
          <w:rFonts w:hint="eastAsia" w:ascii="Arial" w:hAnsi="Arial" w:eastAsia="楷体_GB2312"/>
        </w:rPr>
        <w:t>6</w:t>
      </w:r>
      <w:r>
        <w:rPr>
          <w:rFonts w:ascii="Arial" w:hAnsi="Arial" w:eastAsia="楷体_GB2312"/>
        </w:rPr>
        <w:t>年</w:t>
      </w:r>
      <w:r>
        <w:rPr>
          <w:rFonts w:hint="eastAsia" w:ascii="Arial" w:hAnsi="Arial" w:eastAsia="楷体_GB2312"/>
        </w:rPr>
        <w:t>7</w:t>
      </w:r>
      <w:r>
        <w:rPr>
          <w:rFonts w:ascii="Arial" w:hAnsi="Arial" w:eastAsia="楷体_GB2312"/>
        </w:rPr>
        <w:t>月）：征求意见。</w:t>
      </w:r>
    </w:p>
    <w:p w14:paraId="109686F7">
      <w:pPr>
        <w:keepNext w:val="0"/>
        <w:keepLines w:val="0"/>
        <w:pageBreakBefore w:val="0"/>
        <w:widowControl w:val="0"/>
        <w:kinsoku w:val="0"/>
        <w:wordWrap/>
        <w:overflowPunct w:val="0"/>
        <w:topLinePunct w:val="0"/>
        <w:autoSpaceDE w:val="0"/>
        <w:autoSpaceDN w:val="0"/>
        <w:bidi w:val="0"/>
        <w:adjustRightInd/>
        <w:snapToGrid/>
        <w:spacing w:line="560" w:lineRule="exact"/>
        <w:ind w:firstLine="739" w:firstLineChars="231"/>
        <w:textAlignment w:val="auto"/>
        <w:rPr>
          <w:rFonts w:hint="eastAsia"/>
        </w:rPr>
      </w:pPr>
      <w:r>
        <w:rPr>
          <w:rFonts w:hint="eastAsia"/>
        </w:rPr>
        <w:t>组织召开研讨会</w:t>
      </w:r>
      <w:r>
        <w:rPr>
          <w:rFonts w:hint="eastAsia"/>
          <w:lang w:eastAsia="zh-CN"/>
        </w:rPr>
        <w:t>，形成标准</w:t>
      </w:r>
      <w:bookmarkStart w:id="0" w:name="_GoBack"/>
      <w:bookmarkEnd w:id="0"/>
      <w:r>
        <w:rPr>
          <w:rFonts w:hint="eastAsia"/>
          <w:lang w:eastAsia="zh-CN"/>
        </w:rPr>
        <w:t>征求意见稿。通过内蒙古标准发展促进会官方平台</w:t>
      </w:r>
      <w:r>
        <w:rPr>
          <w:rFonts w:hint="eastAsia"/>
        </w:rPr>
        <w:t>向社会</w:t>
      </w:r>
      <w:r>
        <w:rPr>
          <w:rFonts w:hint="eastAsia"/>
          <w:lang w:eastAsia="zh-CN"/>
        </w:rPr>
        <w:t>各界</w:t>
      </w:r>
      <w:r>
        <w:rPr>
          <w:rFonts w:hint="eastAsia"/>
        </w:rPr>
        <w:t>公</w:t>
      </w:r>
      <w:r>
        <w:rPr>
          <w:rFonts w:hint="eastAsia"/>
          <w:lang w:eastAsia="zh-CN"/>
        </w:rPr>
        <w:t>开</w:t>
      </w:r>
      <w:r>
        <w:rPr>
          <w:rFonts w:hint="eastAsia"/>
        </w:rPr>
        <w:t>征求意见</w:t>
      </w:r>
      <w:r>
        <w:rPr>
          <w:rFonts w:hint="eastAsia"/>
          <w:lang w:eastAsia="zh-CN"/>
        </w:rPr>
        <w:t>，</w:t>
      </w:r>
      <w:r>
        <w:rPr>
          <w:rFonts w:hint="eastAsia"/>
          <w:lang w:val="en-US" w:eastAsia="zh-CN"/>
        </w:rPr>
        <w:t>汇总梳理各方反馈意见并编制意见汇总处理表，依据意见对标准文本修订完善，最终形成标准送审稿。</w:t>
      </w:r>
    </w:p>
    <w:p w14:paraId="11B07494">
      <w:pPr>
        <w:keepNext w:val="0"/>
        <w:keepLines w:val="0"/>
        <w:pageBreakBefore w:val="0"/>
        <w:widowControl w:val="0"/>
        <w:kinsoku w:val="0"/>
        <w:wordWrap/>
        <w:overflowPunct w:val="0"/>
        <w:topLinePunct w:val="0"/>
        <w:autoSpaceDE w:val="0"/>
        <w:autoSpaceDN w:val="0"/>
        <w:bidi w:val="0"/>
        <w:adjustRightInd/>
        <w:snapToGrid/>
        <w:spacing w:line="560" w:lineRule="exact"/>
        <w:ind w:firstLine="640" w:firstLineChars="200"/>
        <w:textAlignment w:val="auto"/>
        <w:outlineLvl w:val="1"/>
        <w:rPr>
          <w:rFonts w:ascii="Arial" w:hAnsi="Arial" w:eastAsia="楷体_GB2312"/>
        </w:rPr>
      </w:pPr>
      <w:r>
        <w:rPr>
          <w:rFonts w:hint="eastAsia" w:ascii="Arial" w:hAnsi="Arial" w:eastAsia="楷体_GB2312"/>
        </w:rPr>
        <w:t>4、</w:t>
      </w:r>
      <w:r>
        <w:rPr>
          <w:rFonts w:ascii="Arial" w:hAnsi="Arial" w:eastAsia="楷体_GB2312"/>
        </w:rPr>
        <w:t>第</w:t>
      </w:r>
      <w:r>
        <w:rPr>
          <w:rFonts w:hint="eastAsia" w:ascii="Arial" w:hAnsi="Arial" w:eastAsia="楷体_GB2312"/>
        </w:rPr>
        <w:t>四</w:t>
      </w:r>
      <w:r>
        <w:rPr>
          <w:rFonts w:ascii="Arial" w:hAnsi="Arial" w:eastAsia="楷体_GB2312"/>
        </w:rPr>
        <w:t>阶段（202</w:t>
      </w:r>
      <w:r>
        <w:rPr>
          <w:rFonts w:hint="eastAsia" w:ascii="Arial" w:hAnsi="Arial" w:eastAsia="楷体_GB2312"/>
        </w:rPr>
        <w:t>6</w:t>
      </w:r>
      <w:r>
        <w:rPr>
          <w:rFonts w:ascii="Arial" w:hAnsi="Arial" w:eastAsia="楷体_GB2312"/>
        </w:rPr>
        <w:t>年</w:t>
      </w:r>
      <w:r>
        <w:rPr>
          <w:rFonts w:hint="eastAsia" w:ascii="Arial" w:hAnsi="Arial" w:eastAsia="楷体_GB2312"/>
        </w:rPr>
        <w:t>8</w:t>
      </w:r>
      <w:r>
        <w:rPr>
          <w:rFonts w:ascii="Arial" w:hAnsi="Arial" w:eastAsia="楷体_GB2312"/>
        </w:rPr>
        <w:t>月—202</w:t>
      </w:r>
      <w:r>
        <w:rPr>
          <w:rFonts w:hint="eastAsia" w:ascii="Arial" w:hAnsi="Arial" w:eastAsia="楷体_GB2312"/>
        </w:rPr>
        <w:t>6</w:t>
      </w:r>
      <w:r>
        <w:rPr>
          <w:rFonts w:ascii="Arial" w:hAnsi="Arial" w:eastAsia="楷体_GB2312"/>
        </w:rPr>
        <w:t>年</w:t>
      </w:r>
      <w:r>
        <w:rPr>
          <w:rFonts w:hint="eastAsia" w:ascii="Arial" w:hAnsi="Arial" w:eastAsia="楷体_GB2312"/>
        </w:rPr>
        <w:t>9</w:t>
      </w:r>
      <w:r>
        <w:rPr>
          <w:rFonts w:ascii="Arial" w:hAnsi="Arial" w:eastAsia="楷体_GB2312"/>
        </w:rPr>
        <w:t>月），技术审查，完成标准报批。</w:t>
      </w:r>
    </w:p>
    <w:p w14:paraId="2B6A84A9">
      <w:pPr>
        <w:keepNext w:val="0"/>
        <w:keepLines w:val="0"/>
        <w:pageBreakBefore w:val="0"/>
        <w:widowControl w:val="0"/>
        <w:kinsoku w:val="0"/>
        <w:wordWrap/>
        <w:overflowPunct w:val="0"/>
        <w:topLinePunct w:val="0"/>
        <w:autoSpaceDE w:val="0"/>
        <w:autoSpaceDN w:val="0"/>
        <w:bidi w:val="0"/>
        <w:adjustRightInd/>
        <w:snapToGrid/>
        <w:spacing w:line="560" w:lineRule="exact"/>
        <w:ind w:firstLine="739" w:firstLineChars="231"/>
        <w:textAlignment w:val="auto"/>
      </w:pPr>
      <w:r>
        <w:rPr>
          <w:rFonts w:hint="eastAsia"/>
        </w:rPr>
        <w:t>召开标准审查会，完成审查工作，修改标准</w:t>
      </w:r>
      <w:r>
        <w:rPr>
          <w:rFonts w:hint="eastAsia"/>
          <w:lang w:eastAsia="zh-CN"/>
        </w:rPr>
        <w:t>形成标准报批稿。</w:t>
      </w:r>
      <w:r>
        <w:rPr>
          <w:rFonts w:hint="eastAsia"/>
        </w:rPr>
        <w:t>将项目建议书、标准送审稿、标准编制说明、专家签到表、会议纪要、标准审查意见汇总表、标准分析比对表、发布卡，报送内蒙古标准发展促进会秘书处发布。</w:t>
      </w:r>
    </w:p>
    <w:p w14:paraId="68AEDB92">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outlineLvl w:val="0"/>
        <w:rPr>
          <w:rFonts w:ascii="Calibri" w:hAnsi="Calibri" w:eastAsia="黑体"/>
          <w:kern w:val="44"/>
        </w:rPr>
      </w:pPr>
      <w:r>
        <w:rPr>
          <w:rFonts w:hint="eastAsia" w:ascii="Calibri" w:hAnsi="Calibri" w:eastAsia="黑体"/>
          <w:kern w:val="44"/>
        </w:rPr>
        <w:t>四、编制原则和依据</w:t>
      </w:r>
    </w:p>
    <w:p w14:paraId="7F813D96">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rPr>
          <w:rFonts w:ascii="仿宋_GB2312" w:hAnsi="宋体" w:cs="Times New Roman"/>
          <w:color w:val="000000"/>
          <w:szCs w:val="32"/>
        </w:rPr>
      </w:pPr>
      <w:r>
        <w:rPr>
          <w:rFonts w:hint="eastAsia" w:ascii="仿宋_GB2312" w:hAnsi="宋体" w:cs="Times New Roman"/>
          <w:color w:val="000000"/>
          <w:szCs w:val="32"/>
        </w:rPr>
        <w:t>本文件的制定以科学、实用和可操作性为基本原则，符合国家有关法律法规、规章和强制性标准的有关规定；本文件按照GB/T 1.1-2020《标准化工作导则 第一部分：标准化文件的结构和起草规则》给出的规则编写，以相关国家标准、行业标准和内蒙古自治区地方标准为依据起草本文件。</w:t>
      </w:r>
    </w:p>
    <w:p w14:paraId="26BD2CCD">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outlineLvl w:val="0"/>
        <w:rPr>
          <w:rFonts w:eastAsia="黑体"/>
          <w:kern w:val="44"/>
        </w:rPr>
      </w:pPr>
      <w:r>
        <w:rPr>
          <w:rFonts w:hint="eastAsia" w:eastAsia="黑体"/>
          <w:kern w:val="44"/>
        </w:rPr>
        <w:t>五、主要条款内容的解释说明</w:t>
      </w:r>
    </w:p>
    <w:p w14:paraId="4BB600F4">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ascii="仿宋_GB2312" w:hAnsi="仿宋_GB2312" w:cs="仿宋_GB2312"/>
        </w:rPr>
      </w:pPr>
      <w:r>
        <w:rPr>
          <w:rFonts w:hint="eastAsia" w:ascii="仿宋_GB2312" w:hAnsi="仿宋_GB2312" w:cs="仿宋_GB2312"/>
        </w:rPr>
        <w:t>《“蒙”字标</w:t>
      </w:r>
      <w:r>
        <w:rPr>
          <w:rFonts w:hint="eastAsia" w:ascii="仿宋_GB2312" w:hAnsi="仿宋_GB2312" w:cs="仿宋_GB2312"/>
          <w:lang w:eastAsia="zh-CN"/>
        </w:rPr>
        <w:t>农产品</w:t>
      </w:r>
      <w:r>
        <w:rPr>
          <w:rFonts w:hint="eastAsia" w:ascii="仿宋_GB2312" w:hAnsi="仿宋_GB2312" w:cs="仿宋_GB2312"/>
        </w:rPr>
        <w:t>认证要求 鄂尔多斯糜米》主要包括以下内容：</w:t>
      </w:r>
    </w:p>
    <w:p w14:paraId="76BAA975">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ascii="仿宋_GB2312" w:hAnsi="仿宋_GB2312" w:cs="仿宋_GB2312"/>
        </w:rPr>
      </w:pPr>
      <w:r>
        <w:rPr>
          <w:rFonts w:hint="eastAsia" w:ascii="仿宋_GB2312" w:hAnsi="仿宋_GB2312" w:cs="仿宋_GB2312"/>
        </w:rPr>
        <w:t>标准正文共分5章：范围、规范性引用文件、术语和定义、认证要求、认证规则程序及评价方法。第四章认证要求</w:t>
      </w:r>
    </w:p>
    <w:p w14:paraId="42A1EFFD">
      <w:pPr>
        <w:keepNext w:val="0"/>
        <w:keepLines w:val="0"/>
        <w:pageBreakBefore w:val="0"/>
        <w:widowControl w:val="0"/>
        <w:kinsoku w:val="0"/>
        <w:wordWrap/>
        <w:overflowPunct w:val="0"/>
        <w:topLinePunct w:val="0"/>
        <w:autoSpaceDE w:val="0"/>
        <w:autoSpaceDN w:val="0"/>
        <w:bidi w:val="0"/>
        <w:spacing w:line="560" w:lineRule="exact"/>
        <w:textAlignment w:val="auto"/>
        <w:rPr>
          <w:rFonts w:ascii="仿宋_GB2312" w:hAnsi="仿宋_GB2312" w:cs="仿宋_GB2312"/>
        </w:rPr>
      </w:pPr>
      <w:r>
        <w:rPr>
          <w:rFonts w:hint="eastAsia" w:ascii="仿宋_GB2312" w:hAnsi="仿宋_GB2312" w:cs="仿宋_GB2312"/>
        </w:rPr>
        <w:t>具体如下：</w:t>
      </w:r>
    </w:p>
    <w:p w14:paraId="2B0A482E">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ascii="仿宋_GB2312" w:hAnsi="仿宋_GB2312" w:cs="仿宋_GB2312"/>
        </w:rPr>
      </w:pPr>
      <w:r>
        <w:rPr>
          <w:rFonts w:hint="eastAsia" w:ascii="仿宋_GB2312" w:hAnsi="仿宋_GB2312" w:cs="仿宋_GB2312"/>
        </w:rPr>
        <w:t>4.1地域要求</w:t>
      </w:r>
      <w:r>
        <w:rPr>
          <w:rFonts w:hint="eastAsia" w:ascii="仿宋_GB2312" w:hAnsi="仿宋_GB2312" w:cs="仿宋_GB2312"/>
          <w:lang w:eastAsia="zh-CN"/>
        </w:rPr>
        <w:t>，</w:t>
      </w:r>
      <w:r>
        <w:rPr>
          <w:rFonts w:hint="eastAsia" w:ascii="仿宋_GB2312" w:hAnsi="仿宋_GB2312" w:cs="仿宋_GB2312"/>
        </w:rPr>
        <w:t>对鄂尔多斯糜米种植区域范围进行了规定。</w:t>
      </w:r>
    </w:p>
    <w:p w14:paraId="412C31B3">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仿宋_GB2312" w:hAnsi="仿宋_GB2312" w:cs="仿宋_GB2312"/>
        </w:rPr>
      </w:pPr>
      <w:r>
        <w:rPr>
          <w:rFonts w:hint="eastAsia" w:ascii="仿宋_GB2312" w:hAnsi="仿宋_GB2312" w:cs="仿宋_GB2312"/>
        </w:rPr>
        <w:t>4.2产地环境要求</w:t>
      </w:r>
      <w:r>
        <w:rPr>
          <w:rFonts w:hint="eastAsia" w:ascii="仿宋_GB2312" w:hAnsi="仿宋_GB2312" w:cs="仿宋_GB2312"/>
          <w:lang w:eastAsia="zh-CN"/>
        </w:rPr>
        <w:t>，本条</w:t>
      </w:r>
      <w:r>
        <w:rPr>
          <w:rFonts w:hint="eastAsia" w:ascii="仿宋_GB2312" w:hAnsi="仿宋_GB2312" w:cs="仿宋_GB2312"/>
          <w:lang w:val="en-US" w:eastAsia="zh-CN"/>
        </w:rPr>
        <w:t>对种植区域大气、灌溉水源、土壤三项环境要素作出限定，各项指标须满足 NY/T 391《绿色食品 产地环境质量》的规范要求。</w:t>
      </w:r>
    </w:p>
    <w:p w14:paraId="40BF2EB5">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ascii="仿宋_GB2312" w:hAnsi="仿宋_GB2312" w:cs="仿宋_GB2312"/>
        </w:rPr>
      </w:pPr>
      <w:r>
        <w:rPr>
          <w:rFonts w:hint="eastAsia" w:ascii="仿宋_GB2312" w:hAnsi="仿宋_GB2312" w:cs="仿宋_GB2312"/>
          <w:lang w:val="en-US" w:eastAsia="zh-CN"/>
        </w:rPr>
        <w:t>4.3 生产要求，结合实地踏勘与座谈调研结果，从糜米品种选用、田间种植及产品加工各环节明确管控要求</w:t>
      </w:r>
      <w:r>
        <w:rPr>
          <w:rFonts w:hint="eastAsia" w:ascii="仿宋_GB2312" w:hAnsi="仿宋_GB2312" w:cs="仿宋_GB2312"/>
        </w:rPr>
        <w:t>。</w:t>
      </w:r>
    </w:p>
    <w:p w14:paraId="1E6A4E02">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仿宋_GB2312" w:hAnsi="仿宋_GB2312" w:cs="仿宋_GB2312"/>
          <w:lang w:val="en-US" w:eastAsia="zh-CN"/>
        </w:rPr>
      </w:pPr>
      <w:r>
        <w:rPr>
          <w:rFonts w:hint="eastAsia" w:ascii="仿宋_GB2312" w:hAnsi="仿宋_GB2312" w:cs="仿宋_GB2312"/>
          <w:lang w:val="en-US" w:eastAsia="zh-CN"/>
        </w:rPr>
        <w:t>4.4 质量要求，依据生产企业出具的产品检验报告确定各项限值，对糜米感官、理化、食品安全指标作出规定；本标准所列检验项目对应的检验方法统一纳入一库一单管理。</w:t>
      </w:r>
    </w:p>
    <w:p w14:paraId="457BB1FE">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ascii="仿宋_GB2312" w:hAnsi="仿宋_GB2312" w:cs="仿宋_GB2312"/>
        </w:rPr>
      </w:pPr>
      <w:r>
        <w:rPr>
          <w:rFonts w:hint="eastAsia" w:ascii="仿宋_GB2312" w:hAnsi="仿宋_GB2312" w:cs="仿宋_GB2312"/>
          <w:lang w:val="en-US" w:eastAsia="zh-CN"/>
        </w:rPr>
        <w:t>4.5包装、标志标识，对糜米的包装、标志标识提出管控要求</w:t>
      </w:r>
      <w:r>
        <w:rPr>
          <w:rFonts w:hint="eastAsia" w:ascii="仿宋_GB2312" w:hAnsi="仿宋_GB2312" w:cs="仿宋_GB2312"/>
        </w:rPr>
        <w:t>。</w:t>
      </w:r>
    </w:p>
    <w:p w14:paraId="7A32978E">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仿宋_GB2312" w:hAnsi="仿宋_GB2312" w:cs="仿宋_GB2312"/>
          <w:lang w:val="en-US" w:eastAsia="zh-CN"/>
        </w:rPr>
      </w:pPr>
      <w:r>
        <w:rPr>
          <w:rFonts w:hint="eastAsia" w:ascii="仿宋_GB2312" w:hAnsi="仿宋_GB2312" w:cs="仿宋_GB2312"/>
        </w:rPr>
        <w:t>4.6</w:t>
      </w:r>
      <w:r>
        <w:rPr>
          <w:rFonts w:hint="eastAsia" w:ascii="仿宋_GB2312" w:hAnsi="仿宋_GB2312" w:cs="仿宋_GB2312"/>
          <w:lang w:val="en-US" w:eastAsia="zh-CN"/>
        </w:rPr>
        <w:t>、贮存与运输，对糜米的贮存及运输进行了规定。</w:t>
      </w:r>
    </w:p>
    <w:p w14:paraId="1B9E5E50">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仿宋_GB2312" w:hAnsi="仿宋_GB2312" w:cs="仿宋_GB2312"/>
        </w:rPr>
      </w:pPr>
      <w:r>
        <w:rPr>
          <w:rFonts w:hint="eastAsia" w:ascii="仿宋_GB2312" w:hAnsi="仿宋_GB2312" w:cs="仿宋_GB2312"/>
          <w:lang w:val="en-US" w:eastAsia="zh-CN"/>
        </w:rPr>
        <w:t>4.7</w:t>
      </w:r>
      <w:r>
        <w:rPr>
          <w:rFonts w:hint="eastAsia" w:ascii="仿宋_GB2312" w:hAnsi="仿宋_GB2312" w:cs="仿宋_GB2312"/>
        </w:rPr>
        <w:t>记录与文件管理，对糜米的生产加工</w:t>
      </w:r>
      <w:r>
        <w:rPr>
          <w:rFonts w:hint="eastAsia" w:ascii="仿宋_GB2312" w:hAnsi="仿宋_GB2312" w:cs="仿宋_GB2312"/>
          <w:lang w:val="en-US" w:eastAsia="zh-CN"/>
        </w:rPr>
        <w:t>贮存与运输</w:t>
      </w:r>
      <w:r>
        <w:rPr>
          <w:rFonts w:hint="eastAsia" w:ascii="仿宋_GB2312" w:hAnsi="仿宋_GB2312" w:cs="仿宋_GB2312"/>
        </w:rPr>
        <w:t>等一系列的操作记录及记录管理进行了要求。</w:t>
      </w:r>
    </w:p>
    <w:p w14:paraId="6296D1DD">
      <w:pPr>
        <w:pStyle w:val="2"/>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pPr>
      <w:r>
        <w:rPr>
          <w:rFonts w:hint="eastAsia"/>
        </w:rPr>
        <w:t>六、重大意见分歧的处理依据和结果</w:t>
      </w:r>
    </w:p>
    <w:p w14:paraId="72639EA5">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仿宋_GB2312" w:hAnsi="仿宋_GB2312" w:eastAsia="仿宋_GB2312" w:cs="仿宋_GB2312"/>
          <w:lang w:eastAsia="zh-CN"/>
        </w:rPr>
      </w:pPr>
      <w:r>
        <w:rPr>
          <w:rFonts w:hint="eastAsia" w:ascii="仿宋_GB2312" w:hAnsi="仿宋_GB2312" w:cs="仿宋_GB2312"/>
          <w:lang w:eastAsia="zh-CN"/>
        </w:rPr>
        <w:t>无</w:t>
      </w:r>
    </w:p>
    <w:p w14:paraId="48E3DE3A">
      <w:pPr>
        <w:pStyle w:val="2"/>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pPr>
      <w:r>
        <w:t>七、采用国际标准或国外先进标准的，说明采标程度，以及国内外同类标准水平的对比情况；</w:t>
      </w:r>
    </w:p>
    <w:p w14:paraId="6CA52E4A">
      <w:pPr>
        <w:keepNext w:val="0"/>
        <w:keepLines w:val="0"/>
        <w:pageBreakBefore w:val="0"/>
        <w:widowControl w:val="0"/>
        <w:kinsoku w:val="0"/>
        <w:wordWrap/>
        <w:overflowPunct w:val="0"/>
        <w:topLinePunct w:val="0"/>
        <w:autoSpaceDE w:val="0"/>
        <w:autoSpaceDN w:val="0"/>
        <w:bidi w:val="0"/>
        <w:spacing w:line="560" w:lineRule="exact"/>
        <w:ind w:firstLine="640" w:firstLineChars="200"/>
        <w:textAlignment w:val="auto"/>
      </w:pPr>
      <w:r>
        <w:rPr>
          <w:rFonts w:hint="eastAsia" w:ascii="仿宋_GB2312" w:hAnsi="仿宋_GB2312" w:cs="仿宋_GB2312"/>
          <w:szCs w:val="32"/>
        </w:rPr>
        <w:t>标准未采用国际或国外先进标准。</w:t>
      </w:r>
    </w:p>
    <w:p w14:paraId="12FF1AE7">
      <w:pPr>
        <w:pStyle w:val="2"/>
        <w:keepNext w:val="0"/>
        <w:keepLines w:val="0"/>
        <w:pageBreakBefore w:val="0"/>
        <w:widowControl w:val="0"/>
        <w:numPr>
          <w:ilvl w:val="0"/>
          <w:numId w:val="2"/>
        </w:numPr>
        <w:kinsoku w:val="0"/>
        <w:wordWrap/>
        <w:overflowPunct w:val="0"/>
        <w:topLinePunct w:val="0"/>
        <w:autoSpaceDE w:val="0"/>
        <w:autoSpaceDN w:val="0"/>
        <w:bidi w:val="0"/>
        <w:spacing w:before="0" w:after="0" w:line="560" w:lineRule="exact"/>
        <w:ind w:firstLine="640" w:firstLineChars="200"/>
        <w:textAlignment w:val="auto"/>
      </w:pPr>
      <w:r>
        <w:t>推广实施</w:t>
      </w:r>
    </w:p>
    <w:p w14:paraId="3588E986">
      <w:pPr>
        <w:keepNext w:val="0"/>
        <w:keepLines w:val="0"/>
        <w:pageBreakBefore w:val="0"/>
        <w:widowControl w:val="0"/>
        <w:kinsoku w:val="0"/>
        <w:wordWrap/>
        <w:overflowPunct w:val="0"/>
        <w:topLinePunct w:val="0"/>
        <w:autoSpaceDE w:val="0"/>
        <w:autoSpaceDN w:val="0"/>
        <w:bidi w:val="0"/>
        <w:spacing w:line="560" w:lineRule="exact"/>
        <w:ind w:firstLine="739" w:firstLineChars="231"/>
        <w:textAlignment w:val="auto"/>
        <w:rPr>
          <w:rFonts w:hint="eastAsia" w:ascii="Times New Roman" w:hAnsi="Times New Roman" w:cs="Times New Roman"/>
        </w:rPr>
      </w:pPr>
      <w:r>
        <w:rPr>
          <w:rFonts w:ascii="Times New Roman" w:hAnsi="Times New Roman" w:cs="Times New Roman"/>
        </w:rPr>
        <w:t>开展精准培育与标准宣贯。面向</w:t>
      </w:r>
      <w:r>
        <w:rPr>
          <w:rFonts w:hint="eastAsia" w:ascii="Times New Roman" w:hAnsi="Times New Roman" w:cs="Times New Roman"/>
          <w:lang w:eastAsia="zh-CN"/>
        </w:rPr>
        <w:t>糜米</w:t>
      </w:r>
      <w:r>
        <w:rPr>
          <w:rFonts w:ascii="Times New Roman" w:hAnsi="Times New Roman" w:cs="Times New Roman"/>
        </w:rPr>
        <w:t>种植户和企业，组织“蒙”字标认证标准和申报流程的专项培训，引导其按照认证要求规范生产，并建立培育企业库进行重点辅导。拓展多元营销与品牌推广。利用“蒙”字标大草原优品直播间、各类展销会等平台，讲好鄂尔多斯</w:t>
      </w:r>
      <w:r>
        <w:rPr>
          <w:rFonts w:hint="eastAsia" w:ascii="仿宋_GB2312" w:hAnsi="仿宋_GB2312" w:cs="仿宋_GB2312"/>
        </w:rPr>
        <w:t>糜米</w:t>
      </w:r>
      <w:r>
        <w:rPr>
          <w:rFonts w:ascii="Times New Roman" w:hAnsi="Times New Roman" w:cs="Times New Roman"/>
        </w:rPr>
        <w:t>品牌故事，加强</w:t>
      </w:r>
      <w:r>
        <w:rPr>
          <w:rFonts w:hint="eastAsia" w:ascii="Times New Roman" w:hAnsi="Times New Roman" w:cs="Times New Roman"/>
          <w:lang w:eastAsia="zh-CN"/>
        </w:rPr>
        <w:t>认</w:t>
      </w:r>
      <w:r>
        <w:rPr>
          <w:rFonts w:ascii="Times New Roman" w:hAnsi="Times New Roman" w:cs="Times New Roman"/>
        </w:rPr>
        <w:t>证后监管与品牌保护。建立常态化监管机制，确保</w:t>
      </w:r>
      <w:r>
        <w:rPr>
          <w:rFonts w:hint="eastAsia" w:ascii="Times New Roman" w:hAnsi="Times New Roman" w:cs="Times New Roman"/>
          <w:lang w:eastAsia="zh-CN"/>
        </w:rPr>
        <w:t>糜米</w:t>
      </w:r>
      <w:r>
        <w:rPr>
          <w:rFonts w:ascii="Times New Roman" w:hAnsi="Times New Roman" w:cs="Times New Roman"/>
        </w:rPr>
        <w:t>产品品质持续符合标准，并严厉打击冒用、滥用“蒙”字标行为，维护品牌公信力</w:t>
      </w:r>
      <w:r>
        <w:rPr>
          <w:rFonts w:hint="eastAsia" w:ascii="Times New Roman" w:hAnsi="Times New Roman" w:cs="Times New Roman"/>
        </w:rPr>
        <w:t>。</w:t>
      </w:r>
    </w:p>
    <w:p w14:paraId="233A2074">
      <w:pPr>
        <w:pStyle w:val="2"/>
        <w:keepNext w:val="0"/>
        <w:keepLines w:val="0"/>
        <w:pageBreakBefore w:val="0"/>
        <w:widowControl w:val="0"/>
        <w:kinsoku w:val="0"/>
        <w:wordWrap/>
        <w:overflowPunct w:val="0"/>
        <w:topLinePunct w:val="0"/>
        <w:autoSpaceDE w:val="0"/>
        <w:autoSpaceDN w:val="0"/>
        <w:bidi w:val="0"/>
        <w:spacing w:before="0" w:after="0" w:line="560" w:lineRule="exact"/>
        <w:ind w:firstLine="640" w:firstLineChars="200"/>
        <w:textAlignment w:val="auto"/>
      </w:pPr>
      <w:r>
        <w:rPr>
          <w:rFonts w:hint="eastAsia"/>
        </w:rPr>
        <w:t>九、其他应说明的事项（涉及标准必要专利的说明，科技成果转化为技术标准的说明等）</w:t>
      </w:r>
    </w:p>
    <w:p w14:paraId="5B1D81A8">
      <w:pPr>
        <w:keepNext w:val="0"/>
        <w:keepLines w:val="0"/>
        <w:pageBreakBefore w:val="0"/>
        <w:widowControl w:val="0"/>
        <w:kinsoku w:val="0"/>
        <w:wordWrap/>
        <w:overflowPunct w:val="0"/>
        <w:topLinePunct w:val="0"/>
        <w:autoSpaceDE w:val="0"/>
        <w:autoSpaceDN w:val="0"/>
        <w:bidi w:val="0"/>
        <w:spacing w:line="560" w:lineRule="exact"/>
        <w:textAlignment w:val="auto"/>
      </w:pPr>
      <w:r>
        <w:rPr>
          <w:rFonts w:hint="eastAsia"/>
        </w:rPr>
        <w:t xml:space="preserve">    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B305D1"/>
    <w:multiLevelType w:val="singleLevel"/>
    <w:tmpl w:val="FDB305D1"/>
    <w:lvl w:ilvl="0" w:tentative="0">
      <w:start w:val="1"/>
      <w:numFmt w:val="chineseCounting"/>
      <w:suff w:val="nothing"/>
      <w:lvlText w:val="%1、"/>
      <w:lvlJc w:val="left"/>
      <w:rPr>
        <w:rFonts w:hint="eastAsia"/>
      </w:rPr>
    </w:lvl>
  </w:abstractNum>
  <w:abstractNum w:abstractNumId="1">
    <w:nsid w:val="0EF8A071"/>
    <w:multiLevelType w:val="singleLevel"/>
    <w:tmpl w:val="0EF8A071"/>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750657"/>
    <w:rsid w:val="00001D99"/>
    <w:rsid w:val="001936F9"/>
    <w:rsid w:val="0030397F"/>
    <w:rsid w:val="00485597"/>
    <w:rsid w:val="004D6C16"/>
    <w:rsid w:val="00BE2743"/>
    <w:rsid w:val="00C10C89"/>
    <w:rsid w:val="00EC1D99"/>
    <w:rsid w:val="00F03E0D"/>
    <w:rsid w:val="0BD936D7"/>
    <w:rsid w:val="343BF672"/>
    <w:rsid w:val="34ED0D0B"/>
    <w:rsid w:val="37D5C7DD"/>
    <w:rsid w:val="3C89DB55"/>
    <w:rsid w:val="3D77CB13"/>
    <w:rsid w:val="3EFFF124"/>
    <w:rsid w:val="45A73923"/>
    <w:rsid w:val="45B147A1"/>
    <w:rsid w:val="4F750657"/>
    <w:rsid w:val="57CF406D"/>
    <w:rsid w:val="5EFB60BF"/>
    <w:rsid w:val="5EFD0634"/>
    <w:rsid w:val="5F7DFBD9"/>
    <w:rsid w:val="5FF1BA08"/>
    <w:rsid w:val="5FFBB71C"/>
    <w:rsid w:val="6561DB8F"/>
    <w:rsid w:val="66775B9A"/>
    <w:rsid w:val="6D6FD1F6"/>
    <w:rsid w:val="6EAF7176"/>
    <w:rsid w:val="6FEF9C6A"/>
    <w:rsid w:val="739B3D32"/>
    <w:rsid w:val="73EF9B33"/>
    <w:rsid w:val="765F9D8C"/>
    <w:rsid w:val="765FB7AB"/>
    <w:rsid w:val="775F938D"/>
    <w:rsid w:val="7BF9C3AF"/>
    <w:rsid w:val="7D6FC9DB"/>
    <w:rsid w:val="7DF3A1A2"/>
    <w:rsid w:val="7F7BF02A"/>
    <w:rsid w:val="7FDF322A"/>
    <w:rsid w:val="7FEF3041"/>
    <w:rsid w:val="7FFB45F8"/>
    <w:rsid w:val="8EA73716"/>
    <w:rsid w:val="BCF50420"/>
    <w:rsid w:val="D5FC47AA"/>
    <w:rsid w:val="D87A5606"/>
    <w:rsid w:val="DA75602A"/>
    <w:rsid w:val="DBDFE0C0"/>
    <w:rsid w:val="DBFB121C"/>
    <w:rsid w:val="DC6FEED3"/>
    <w:rsid w:val="DEEDEC46"/>
    <w:rsid w:val="DF9EA470"/>
    <w:rsid w:val="DFAFC375"/>
    <w:rsid w:val="DFDE710D"/>
    <w:rsid w:val="EAFE3041"/>
    <w:rsid w:val="EFF70710"/>
    <w:rsid w:val="F07F20D2"/>
    <w:rsid w:val="F3EF7104"/>
    <w:rsid w:val="F937E11F"/>
    <w:rsid w:val="F9AF57B3"/>
    <w:rsid w:val="FD3F6E7F"/>
    <w:rsid w:val="FDF6FA9E"/>
    <w:rsid w:val="FE9F3DB6"/>
    <w:rsid w:val="FFAEA025"/>
    <w:rsid w:val="FFAF044A"/>
    <w:rsid w:val="FFF42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paragraph" w:styleId="2">
    <w:name w:val="heading 1"/>
    <w:basedOn w:val="1"/>
    <w:next w:val="1"/>
    <w:qFormat/>
    <w:uiPriority w:val="0"/>
    <w:pPr>
      <w:spacing w:before="340" w:after="330" w:line="576" w:lineRule="auto"/>
      <w:outlineLvl w:val="0"/>
    </w:pPr>
    <w:rPr>
      <w:rFonts w:eastAsia="黑体"/>
      <w:kern w:val="44"/>
    </w:rPr>
  </w:style>
  <w:style w:type="paragraph" w:styleId="3">
    <w:name w:val="heading 2"/>
    <w:basedOn w:val="1"/>
    <w:next w:val="1"/>
    <w:unhideWhenUsed/>
    <w:qFormat/>
    <w:uiPriority w:val="0"/>
    <w:pPr>
      <w:autoSpaceDE w:val="0"/>
      <w:autoSpaceDN w:val="0"/>
      <w:spacing w:before="260" w:after="260" w:line="420" w:lineRule="auto"/>
      <w:outlineLvl w:val="1"/>
    </w:pPr>
    <w:rPr>
      <w:rFonts w:ascii="楷体_GB2312" w:hAnsi="楷体_GB2312" w:eastAsia="楷体_GB231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Body Text"/>
    <w:basedOn w:val="1"/>
    <w:unhideWhenUsed/>
    <w:qFormat/>
    <w:uiPriority w:val="99"/>
    <w:pPr>
      <w:spacing w:after="120"/>
    </w:pPr>
    <w:rPr>
      <w:rFonts w:ascii="Calibri" w:hAnsi="Calibri" w:eastAsia="宋体"/>
      <w:sz w:val="21"/>
      <w:szCs w:val="22"/>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1">
    <w:name w:val="Strong"/>
    <w:basedOn w:val="10"/>
    <w:qFormat/>
    <w:uiPriority w:val="0"/>
    <w:rPr>
      <w:b/>
    </w:rPr>
  </w:style>
  <w:style w:type="paragraph" w:customStyle="1" w:styleId="1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3">
    <w:name w:val="页眉 字符"/>
    <w:basedOn w:val="10"/>
    <w:link w:val="8"/>
    <w:qFormat/>
    <w:uiPriority w:val="0"/>
    <w:rPr>
      <w:rFonts w:eastAsia="仿宋_GB2312" w:asciiTheme="minorHAnsi" w:hAnsiTheme="minorHAnsi" w:cstheme="minorBidi"/>
      <w:kern w:val="2"/>
      <w:sz w:val="18"/>
      <w:szCs w:val="18"/>
    </w:rPr>
  </w:style>
  <w:style w:type="character" w:customStyle="1" w:styleId="14">
    <w:name w:val="页脚 字符"/>
    <w:basedOn w:val="10"/>
    <w:link w:val="7"/>
    <w:qFormat/>
    <w:uiPriority w:val="0"/>
    <w:rPr>
      <w:rFonts w:eastAsia="仿宋_GB2312"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610</Words>
  <Characters>3478</Characters>
  <Lines>28</Lines>
  <Paragraphs>8</Paragraphs>
  <TotalTime>9</TotalTime>
  <ScaleCrop>false</ScaleCrop>
  <LinksUpToDate>false</LinksUpToDate>
  <CharactersWithSpaces>4080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2024-07-22T17:08:00Z</dcterms:created>
  <dc:creator>lenovo</dc:creator>
  <cp:lastModifiedBy>lenovo</cp:lastModifiedBy>
  <dcterms:modified xsi:type="dcterms:W3CDTF">2026-06-03T11:28:51Z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FEDFAEC8EB4E3C597AE52A6719F988DC_42</vt:lpwstr>
  </property>
  <property fmtid="{D5CDD505-2E9C-101B-9397-08002B2CF9AE}" pid="4" name="KSOTemplateDocerSaveRecord">
    <vt:lpwstr>eyJoZGlkIjoiODFjNmE1ZjhlNmNjNDdkMzQ2MGZhMjQ0YTVlYWZmYWEiLCJ1c2VySWQiOiI3NjgxODI2ODQifQ==</vt:lpwstr>
  </property>
</Properties>
</file>